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lang w:eastAsia="es-ES"/>
              </w:rPr>
              <w:t>Adaptación al nuevo reglamento de instalaciones eléctricas en baja tensión y contraincendios del Estadio Municipal de Casablanca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b/>
                <w:bCs/>
                <w:color w:val="000000"/>
                <w:lang w:eastAsia="es-ES"/>
              </w:rPr>
              <w:t>576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lang w:eastAsia="es-ES"/>
              </w:rPr>
              <w:t>2.3.9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lang w:eastAsia="es-ES"/>
              </w:rPr>
              <w:t>Espacios públicos deportivos con alta potencialidad económica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lang w:eastAsia="es-ES"/>
              </w:rPr>
              <w:t>FIRGAS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b/>
                <w:color w:val="000000"/>
                <w:lang w:eastAsia="es-ES"/>
              </w:rPr>
              <w:t>181.210,27 €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814F9">
              <w:rPr>
                <w:rFonts w:cs="Calibri"/>
                <w:w w:val="99"/>
                <w:sz w:val="20"/>
                <w:szCs w:val="20"/>
              </w:rPr>
              <w:t>181.210,27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814F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814F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14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814F9">
              <w:rPr>
                <w:rFonts w:ascii="Arial" w:hAnsi="Arial" w:cs="Arial"/>
                <w:b/>
                <w:sz w:val="15"/>
                <w:szCs w:val="15"/>
              </w:rPr>
              <w:t>576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814F9">
              <w:rPr>
                <w:rFonts w:ascii="Arial" w:hAnsi="Arial" w:cs="Arial"/>
                <w:b/>
                <w:sz w:val="15"/>
                <w:szCs w:val="15"/>
              </w:rPr>
              <w:t>Adaptación al nuevo reglamento de instalaciones eléctricas en baja tensión y contraincendios del Estadio Municipal de Casablanca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814F9">
        <w:t>Firgas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Firgas"/>
    <w:docVar w:name="C-A" w:val="A"/>
    <w:docVar w:name="CINCO" w:val=" "/>
    <w:docVar w:name="codayto" w:val="5"/>
    <w:docVar w:name="CUATRO" w:val=" "/>
    <w:docVar w:name="denomaccion" w:val="Espacios públicos deportivos con alta potencialidad económica"/>
    <w:docVar w:name="denomactuac" w:val="Adaptación al nuevo reglamento de instalaciones eléctricas en baja tensión y contraincendios del Estadio Municipal de Casablanc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576"/>
    <w:docVar w:name="FDCANELEG" w:val=" "/>
    <w:docVar w:name="le" w:val="2"/>
    <w:docVar w:name="linea" w:val="Línea 2: Inversión en infraestructuras"/>
    <w:docVar w:name="MUNICIPIO" w:val="Firgas"/>
    <w:docVar w:name="nuactuac" w:val="576"/>
    <w:docVar w:name="NUEVE" w:val=" "/>
    <w:docVar w:name="num" w:val="576.2023"/>
    <w:docVar w:name="numaccion" w:val="2.3.9"/>
    <w:docVar w:name="OCHO" w:val=" "/>
    <w:docVar w:name="SEIS" w:val=" "/>
    <w:docVar w:name="SIETE" w:val=" "/>
    <w:docVar w:name="TOTALGASTOFDCAN" w:val="181210,27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6590-A962-43F3-A4C6-2627E12D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