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lang w:eastAsia="es-ES"/>
              </w:rPr>
              <w:t>Mejora en las redes de saneamiento y pluviales de la calle Harimaguada y otras (8616/21)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b/>
                <w:bCs/>
                <w:color w:val="000000"/>
                <w:lang w:eastAsia="es-ES"/>
              </w:rPr>
              <w:t>587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b/>
                <w:color w:val="000000"/>
                <w:lang w:eastAsia="es-ES"/>
              </w:rPr>
              <w:t>76.450,30 €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B7529">
              <w:rPr>
                <w:rFonts w:cs="Calibri"/>
                <w:w w:val="99"/>
                <w:sz w:val="20"/>
                <w:szCs w:val="20"/>
              </w:rPr>
              <w:t>76.450,30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B752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B752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9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8B7529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9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8B7529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B752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B7529">
              <w:rPr>
                <w:rFonts w:ascii="Arial" w:hAnsi="Arial" w:cs="Arial"/>
                <w:b/>
                <w:sz w:val="15"/>
                <w:szCs w:val="15"/>
              </w:rPr>
              <w:t>587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B7529">
              <w:rPr>
                <w:rFonts w:ascii="Arial" w:hAnsi="Arial" w:cs="Arial"/>
                <w:b/>
                <w:sz w:val="15"/>
                <w:szCs w:val="15"/>
              </w:rPr>
              <w:t>Mejora en las redes de saneamiento y pluviales de la calle Harimaguada y otras (8616/21)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B7529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Abastecimiento de aguas. Volumen anual de agua conservada, protegida"/>
    <w:docVar w:name="codayto" w:val="7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Mejora en las redes de saneamiento y pluviales de la calle Harimaguada y otras (8616/21)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587"/>
    <w:docVar w:name="FDCANELEG" w:val=" "/>
    <w:docVar w:name="le" w:val="2"/>
    <w:docVar w:name="linea" w:val="Línea 2: Inversión en infraestructuras"/>
    <w:docVar w:name="MUNICIPIO" w:val="Ingenio"/>
    <w:docVar w:name="nuactuac" w:val="587"/>
    <w:docVar w:name="NUEVE" w:val=" "/>
    <w:docVar w:name="num" w:val="587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76450,3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7882-61A8-4FBF-B430-FA53FC92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