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lang w:eastAsia="es-ES"/>
              </w:rPr>
              <w:t>Desarrollo del Parque Urbano de Santa Catalina-Muelle Sanapú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b/>
                <w:bCs/>
                <w:color w:val="000000"/>
                <w:lang w:eastAsia="es-ES"/>
              </w:rPr>
              <w:t>481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lang w:eastAsia="es-ES"/>
              </w:rPr>
              <w:t>LAS PALMAS G.C.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b/>
                <w:color w:val="000000"/>
                <w:lang w:eastAsia="es-ES"/>
              </w:rPr>
              <w:t>512.388,42 €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E00AB">
              <w:rPr>
                <w:rFonts w:cs="Calibri"/>
                <w:w w:val="99"/>
                <w:sz w:val="20"/>
                <w:szCs w:val="20"/>
              </w:rPr>
              <w:t>512.388,42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E00A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E00A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E00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E00AB">
              <w:rPr>
                <w:rFonts w:ascii="Arial" w:hAnsi="Arial" w:cs="Arial"/>
                <w:b/>
                <w:sz w:val="15"/>
                <w:szCs w:val="15"/>
              </w:rPr>
              <w:t>481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E00AB">
              <w:rPr>
                <w:rFonts w:ascii="Arial" w:hAnsi="Arial" w:cs="Arial"/>
                <w:b/>
                <w:sz w:val="15"/>
                <w:szCs w:val="15"/>
              </w:rPr>
              <w:t>Desarrollo del Parque Urbano de Santa Catalina-Muelle Sanapú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E00AB">
        <w:t>Las Palmas GC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s Palmas G.C."/>
    <w:docVar w:name="C-A" w:val="A"/>
    <w:docVar w:name="CINCO" w:val=" "/>
    <w:docVar w:name="codayto" w:val="10"/>
    <w:docVar w:name="CUATRO" w:val=" "/>
    <w:docVar w:name="denomaccion" w:val="Actuaciones en espacios públicos de alta potencialidad turística"/>
    <w:docVar w:name="denomactuac" w:val="Desarrollo del Parque Urbano de Santa Catalina-Muelle Sanapú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481"/>
    <w:docVar w:name="FDCANELEG" w:val=" "/>
    <w:docVar w:name="le" w:val="2"/>
    <w:docVar w:name="linea" w:val="Línea 2: Inversión en infraestructuras"/>
    <w:docVar w:name="MUNICIPIO" w:val="Las Palmas GC"/>
    <w:docVar w:name="nuactuac" w:val="481"/>
    <w:docVar w:name="NUEVE" w:val=" "/>
    <w:docVar w:name="num" w:val="481.2023"/>
    <w:docVar w:name="numaccion" w:val="2.3.8"/>
    <w:docVar w:name="OCHO" w:val=" "/>
    <w:docVar w:name="SEIS" w:val=" "/>
    <w:docVar w:name="SIETE" w:val=" "/>
    <w:docVar w:name="TOTALGASTOFDCAN" w:val="512388,42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9D6A-791A-41A7-A71D-90E596EC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