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lang w:eastAsia="es-ES"/>
              </w:rPr>
              <w:t>Renovación de la urbanización en Juan Grande Aldea Blanca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b/>
                <w:bCs/>
                <w:color w:val="000000"/>
                <w:lang w:eastAsia="es-ES"/>
              </w:rPr>
              <w:t>358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b/>
                <w:color w:val="000000"/>
                <w:lang w:eastAsia="es-ES"/>
              </w:rPr>
              <w:t>77.760,00 €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E5A50">
              <w:rPr>
                <w:rFonts w:cs="Calibri"/>
                <w:w w:val="99"/>
                <w:sz w:val="20"/>
                <w:szCs w:val="20"/>
              </w:rPr>
              <w:t>77.760,00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E5A5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E5A5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E5A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E5A50">
              <w:rPr>
                <w:rFonts w:ascii="Arial" w:hAnsi="Arial" w:cs="Arial"/>
                <w:b/>
                <w:sz w:val="15"/>
                <w:szCs w:val="15"/>
              </w:rPr>
              <w:t>358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E5A50">
              <w:rPr>
                <w:rFonts w:ascii="Arial" w:hAnsi="Arial" w:cs="Arial"/>
                <w:b/>
                <w:sz w:val="15"/>
                <w:szCs w:val="15"/>
              </w:rPr>
              <w:t>Renovación de la urbanización en Juan Grande Aldea Blanca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5E5A50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novación de la urbanización en Juan Grande Aldea Blanc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58"/>
    <w:docVar w:name="FDCANELEG" w:val=" "/>
    <w:docVar w:name="le" w:val="2"/>
    <w:docVar w:name="linea" w:val="Línea 2: Inversión en infraestructuras"/>
    <w:docVar w:name="MUNICIPIO" w:val="San Bartolomé de Tirajana"/>
    <w:docVar w:name="nuactuac" w:val="358"/>
    <w:docVar w:name="NUEVE" w:val=" "/>
    <w:docVar w:name="num" w:val="358.2023"/>
    <w:docVar w:name="numaccion" w:val="2.1.8"/>
    <w:docVar w:name="OCHO" w:val=" "/>
    <w:docVar w:name="SEIS" w:val=" "/>
    <w:docVar w:name="SIETE" w:val=" "/>
    <w:docVar w:name="TOTALGASTOFDCAN" w:val="7776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B418-CEEB-424B-8A32-F4C64731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