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lang w:eastAsia="es-ES"/>
              </w:rPr>
              <w:t>Parque público en Castillo del Romeral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b/>
                <w:bCs/>
                <w:color w:val="000000"/>
                <w:lang w:eastAsia="es-ES"/>
              </w:rPr>
              <w:t>360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b/>
                <w:color w:val="000000"/>
                <w:lang w:eastAsia="es-ES"/>
              </w:rPr>
              <w:t>13.800,00 €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E784A">
              <w:rPr>
                <w:rFonts w:cs="Calibri"/>
                <w:w w:val="99"/>
                <w:sz w:val="20"/>
                <w:szCs w:val="20"/>
              </w:rPr>
              <w:t>13.800,00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E784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E784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E78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E784A">
              <w:rPr>
                <w:rFonts w:ascii="Arial" w:hAnsi="Arial" w:cs="Arial"/>
                <w:b/>
                <w:sz w:val="15"/>
                <w:szCs w:val="15"/>
              </w:rPr>
              <w:t>360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E784A">
              <w:rPr>
                <w:rFonts w:ascii="Arial" w:hAnsi="Arial" w:cs="Arial"/>
                <w:b/>
                <w:sz w:val="15"/>
                <w:szCs w:val="15"/>
              </w:rPr>
              <w:t>Parque público en Castillo del Romeral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E784A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 "/>
    <w:docVar w:name="denomaccion" w:val="Actuaciones en espacios públicos de alta potencialidad turística"/>
    <w:docVar w:name="denomactuac" w:val="Parque público en Castillo del Romeral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360"/>
    <w:docVar w:name="FDCANELEG" w:val=" "/>
    <w:docVar w:name="le" w:val="2"/>
    <w:docVar w:name="linea" w:val="Línea 2: Inversión en infraestructuras"/>
    <w:docVar w:name="MUNICIPIO" w:val="San Bartolomé de Tirajana"/>
    <w:docVar w:name="nuactuac" w:val="360"/>
    <w:docVar w:name="NUEVE" w:val=" "/>
    <w:docVar w:name="num" w:val="360.2023"/>
    <w:docVar w:name="numaccion" w:val="2.3.8"/>
    <w:docVar w:name="OCHO" w:val=" "/>
    <w:docVar w:name="SEIS" w:val=" "/>
    <w:docVar w:name="SIETE" w:val=" "/>
    <w:docVar w:name="TOTALGASTOFDCAN" w:val="138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55FC-CE78-4495-9F5B-C37BEA57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