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lang w:eastAsia="es-ES"/>
              </w:rPr>
              <w:t>Mejora de red de abastecimiento en la zona alta de San Bartolomé de Tirajana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b/>
                <w:bCs/>
                <w:color w:val="000000"/>
                <w:lang w:eastAsia="es-ES"/>
              </w:rPr>
              <w:t>362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b/>
                <w:color w:val="000000"/>
                <w:lang w:eastAsia="es-ES"/>
              </w:rPr>
              <w:t>45.000,00 €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366B8">
              <w:rPr>
                <w:rFonts w:cs="Calibri"/>
                <w:w w:val="99"/>
                <w:sz w:val="20"/>
                <w:szCs w:val="20"/>
              </w:rPr>
              <w:t>45.000,00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366B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366B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B8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3366B8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B8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3366B8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366B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366B8">
              <w:rPr>
                <w:rFonts w:ascii="Arial" w:hAnsi="Arial" w:cs="Arial"/>
                <w:b/>
                <w:sz w:val="15"/>
                <w:szCs w:val="15"/>
              </w:rPr>
              <w:t>362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366B8">
              <w:rPr>
                <w:rFonts w:ascii="Arial" w:hAnsi="Arial" w:cs="Arial"/>
                <w:b/>
                <w:sz w:val="15"/>
                <w:szCs w:val="15"/>
              </w:rPr>
              <w:t>Mejora de red de abastecimiento en la zona alta de San Bartolomé de Tirajana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366B8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Abastecimiento de aguas. Volumen anual de agua conservada, protegida"/>
    <w:docVar w:name="codayto" w:val="11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Mejora de red de abastecimiento en la zona alta de San Bartolomé de Tirajana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362"/>
    <w:docVar w:name="FDCANELEG" w:val=" "/>
    <w:docVar w:name="le" w:val="2"/>
    <w:docVar w:name="linea" w:val="Línea 2: Inversión en infraestructuras"/>
    <w:docVar w:name="MUNICIPIO" w:val="San Bartolomé de Tirajana"/>
    <w:docVar w:name="nuactuac" w:val="362"/>
    <w:docVar w:name="NUEVE" w:val=" "/>
    <w:docVar w:name="num" w:val="362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450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9948-AD1A-43CE-B972-0AB7EDF7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