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Embellecimiento y estructuras para de las zonas comerciales abiertas de San Bartolomé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b/>
                <w:bCs/>
                <w:color w:val="000000"/>
                <w:lang w:eastAsia="es-ES"/>
              </w:rPr>
              <w:t>364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b/>
                <w:color w:val="000000"/>
                <w:lang w:eastAsia="es-ES"/>
              </w:rPr>
              <w:t>98.432,15 €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95CBB">
              <w:rPr>
                <w:rFonts w:cs="Calibri"/>
                <w:w w:val="99"/>
                <w:sz w:val="20"/>
                <w:szCs w:val="20"/>
              </w:rPr>
              <w:t>98.432,15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95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95CB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95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95CBB">
              <w:rPr>
                <w:rFonts w:ascii="Arial" w:hAnsi="Arial" w:cs="Arial"/>
                <w:b/>
                <w:sz w:val="15"/>
                <w:szCs w:val="15"/>
              </w:rPr>
              <w:t>364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95CBB">
              <w:rPr>
                <w:rFonts w:ascii="Arial" w:hAnsi="Arial" w:cs="Arial"/>
                <w:b/>
                <w:sz w:val="15"/>
                <w:szCs w:val="15"/>
              </w:rPr>
              <w:t>Embellecimiento y estructuras para de las zonas comerciales abiertas de San Bartolomé de Tirajana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95CBB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Zonas Comerciales Abiertas (ZCA)"/>
    <w:docVar w:name="denomactuac" w:val="Embellecimiento y estructuras para de las zonas comerciales abiertas de San Bartolomé de Tirajana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364"/>
    <w:docVar w:name="FDCANELEG" w:val=" "/>
    <w:docVar w:name="le" w:val="2"/>
    <w:docVar w:name="linea" w:val="Línea 2: Inversión en infraestructuras"/>
    <w:docVar w:name="MUNICIPIO" w:val="San Bartolomé de Tirajana"/>
    <w:docVar w:name="nuactuac" w:val="364"/>
    <w:docVar w:name="NUEVE" w:val=" "/>
    <w:docVar w:name="num" w:val="364.2023"/>
    <w:docVar w:name="numaccion" w:val="2.7.1"/>
    <w:docVar w:name="OCHO" w:val=" "/>
    <w:docVar w:name="SEIS" w:val=" "/>
    <w:docVar w:name="SIETE" w:val=" "/>
    <w:docVar w:name="TOTALGASTOFDCAN" w:val="98432,15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7D13-D84E-4CD2-80BC-1BCE342F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