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536AF">
              <w:rPr>
                <w:rFonts w:eastAsia="Times New Roman" w:cs="Calibri"/>
                <w:color w:val="000000"/>
                <w:lang w:eastAsia="es-ES"/>
              </w:rPr>
              <w:t>Reforma de la Casa Condal de San Fernando de Maspalomas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536AF">
              <w:rPr>
                <w:rFonts w:eastAsia="Times New Roman" w:cs="Calibri"/>
                <w:b/>
                <w:bCs/>
                <w:color w:val="000000"/>
                <w:lang w:eastAsia="es-ES"/>
              </w:rPr>
              <w:t>366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536AF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536AF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536AF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536AF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536AF">
              <w:rPr>
                <w:rFonts w:eastAsia="Times New Roman" w:cs="Calibri"/>
                <w:color w:val="000000"/>
                <w:lang w:eastAsia="es-ES"/>
              </w:rPr>
              <w:t>SAN BARTOLOMÉ DE TIRAJANA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536AF">
              <w:rPr>
                <w:rFonts w:eastAsia="Times New Roman" w:cs="Calibri"/>
                <w:b/>
                <w:color w:val="000000"/>
                <w:lang w:eastAsia="es-ES"/>
              </w:rPr>
              <w:t>690.017,60 €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1536AF">
              <w:rPr>
                <w:rFonts w:cs="Calibri"/>
                <w:w w:val="99"/>
                <w:sz w:val="20"/>
                <w:szCs w:val="20"/>
              </w:rPr>
              <w:t>690.017,60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1536AF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1536AF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536A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536A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536A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536A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536A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536A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536A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536A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536A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536AF">
              <w:rPr>
                <w:rFonts w:ascii="Arial" w:hAnsi="Arial" w:cs="Arial"/>
                <w:b/>
                <w:sz w:val="15"/>
                <w:szCs w:val="15"/>
              </w:rPr>
              <w:t>366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536AF">
              <w:rPr>
                <w:rFonts w:ascii="Arial" w:hAnsi="Arial" w:cs="Arial"/>
                <w:b/>
                <w:sz w:val="15"/>
                <w:szCs w:val="15"/>
              </w:rPr>
              <w:t>Reforma de la Casa Condal de San Fernando de Maspalomas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1536AF">
        <w:t>San Bartolomé de Tirajana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an Bartolomé de Tirajana"/>
    <w:docVar w:name="C-A" w:val="A"/>
    <w:docVar w:name="CINCO" w:val=" "/>
    <w:docVar w:name="codayto" w:val="11"/>
    <w:docVar w:name="CUATRO" w:val=" "/>
    <w:docVar w:name="denomaccion" w:val="Actuaciones en espacios públicos de alta potencialidad turística"/>
    <w:docVar w:name="denomactuac" w:val="Reforma de la Casa Condal de San Fernando de Maspalomas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366"/>
    <w:docVar w:name="FDCANELEG" w:val=" "/>
    <w:docVar w:name="le" w:val="2"/>
    <w:docVar w:name="linea" w:val="Línea 2: Inversión en infraestructuras"/>
    <w:docVar w:name="MUNICIPIO" w:val="San Bartolomé de Tirajana"/>
    <w:docVar w:name="nuactuac" w:val="366"/>
    <w:docVar w:name="NUEVE" w:val=" "/>
    <w:docVar w:name="num" w:val="366.2023"/>
    <w:docVar w:name="numaccion" w:val="2.3.8"/>
    <w:docVar w:name="OCHO" w:val=" "/>
    <w:docVar w:name="SEIS" w:val=" "/>
    <w:docVar w:name="SIETE" w:val=" "/>
    <w:docVar w:name="TOTALGASTOFDCAN" w:val="690017,6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F2076"/>
    <w:rsid w:val="0078389A"/>
    <w:rsid w:val="00791A1F"/>
    <w:rsid w:val="007961BA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7741E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FB67-C948-46EB-81AA-9E41ACA4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