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lang w:eastAsia="es-ES"/>
              </w:rPr>
              <w:t>Plan municipal de asfalto 2022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b/>
                <w:bCs/>
                <w:color w:val="000000"/>
                <w:lang w:eastAsia="es-ES"/>
              </w:rPr>
              <w:t>605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b/>
                <w:color w:val="000000"/>
                <w:lang w:eastAsia="es-ES"/>
              </w:rPr>
              <w:t>1.382.113,66 €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6738C">
              <w:rPr>
                <w:rFonts w:cs="Calibri"/>
                <w:w w:val="99"/>
                <w:sz w:val="20"/>
                <w:szCs w:val="20"/>
              </w:rPr>
              <w:t>1.382.113,66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6738C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6738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6738C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6738C">
              <w:rPr>
                <w:rFonts w:ascii="Arial" w:hAnsi="Arial" w:cs="Arial"/>
                <w:b/>
                <w:sz w:val="15"/>
                <w:szCs w:val="15"/>
              </w:rPr>
              <w:t>605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6738C">
              <w:rPr>
                <w:rFonts w:ascii="Arial" w:hAnsi="Arial" w:cs="Arial"/>
                <w:b/>
                <w:sz w:val="15"/>
                <w:szCs w:val="15"/>
              </w:rPr>
              <w:t>Plan municipal de asfalto 2022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C6738C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Lucía"/>
    <w:docVar w:name="C-A" w:val="A"/>
    <w:docVar w:name="CINCO" w:val=" "/>
    <w:docVar w:name="codayto" w:val="14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Plan municipal de asfalto 2022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605"/>
    <w:docVar w:name="FDCANELEG" w:val=" "/>
    <w:docVar w:name="le" w:val="2"/>
    <w:docVar w:name="linea" w:val="Línea 2: Inversión en infraestructuras"/>
    <w:docVar w:name="MUNICIPIO" w:val="Santa Lucía"/>
    <w:docVar w:name="nuactuac" w:val="605"/>
    <w:docVar w:name="NUEVE" w:val=" "/>
    <w:docVar w:name="num" w:val="605.2023"/>
    <w:docVar w:name="numaccion" w:val="2.1.8"/>
    <w:docVar w:name="OCHO" w:val=" "/>
    <w:docVar w:name="SEIS" w:val=" "/>
    <w:docVar w:name="SIETE" w:val=" "/>
    <w:docVar w:name="TOTALGASTOFDCAN" w:val="1382113,66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5EC0-4576-41CB-AD5F-15A71B7F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