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lang w:eastAsia="es-ES"/>
              </w:rPr>
              <w:t>Plan municipal de asfalto 2023 - 1ª fase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b/>
                <w:bCs/>
                <w:color w:val="000000"/>
                <w:lang w:eastAsia="es-ES"/>
              </w:rPr>
              <w:t>606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lang w:eastAsia="es-ES"/>
              </w:rPr>
              <w:t>2.1.8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lang w:eastAsia="es-ES"/>
              </w:rPr>
              <w:t>Infraestructuras de transporte, red viaria. Acondicionamiento de viales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b/>
                <w:color w:val="000000"/>
                <w:lang w:eastAsia="es-ES"/>
              </w:rPr>
              <w:t>634.528,19 €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53F71">
              <w:rPr>
                <w:rFonts w:cs="Calibri"/>
                <w:w w:val="99"/>
                <w:sz w:val="20"/>
                <w:szCs w:val="20"/>
              </w:rPr>
              <w:t>634.528,19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53F7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53F7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53F7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53F71">
              <w:rPr>
                <w:rFonts w:ascii="Arial" w:hAnsi="Arial" w:cs="Arial"/>
                <w:b/>
                <w:sz w:val="15"/>
                <w:szCs w:val="15"/>
              </w:rPr>
              <w:t>606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53F71">
              <w:rPr>
                <w:rFonts w:ascii="Arial" w:hAnsi="Arial" w:cs="Arial"/>
                <w:b/>
                <w:sz w:val="15"/>
                <w:szCs w:val="15"/>
              </w:rPr>
              <w:t>Plan municipal de asfalto 2023 - 1ª fase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53F71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Número de ususarios beneficiarios de las infraestructuras  creadas o mejoradas"/>
    <w:docVar w:name="denomaccion" w:val="Infraestructuras de transporte, red viaria. Acondicionamiento de viales"/>
    <w:docVar w:name="denomactuac" w:val="Plan municipal de asfalto 2023 - 1ª fase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Alta Mod01"/>
    <w:docVar w:name="exp" w:val="606"/>
    <w:docVar w:name="FDCANELEG" w:val=" "/>
    <w:docVar w:name="le" w:val="2"/>
    <w:docVar w:name="linea" w:val="Línea 2: Inversión en infraestructuras"/>
    <w:docVar w:name="MUNICIPIO" w:val="Santa Lucía"/>
    <w:docVar w:name="nuactuac" w:val="606"/>
    <w:docVar w:name="NUEVE" w:val=" "/>
    <w:docVar w:name="num" w:val="606.2023"/>
    <w:docVar w:name="numaccion" w:val="2.1.8"/>
    <w:docVar w:name="OCHO" w:val=" "/>
    <w:docVar w:name="SEIS" w:val=" "/>
    <w:docVar w:name="SIETE" w:val=" "/>
    <w:docVar w:name="TOTALGASTOFDCAN" w:val="634528,19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39D7-DF0C-4B3C-B556-489D0CD1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