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lang w:eastAsia="es-ES"/>
              </w:rPr>
              <w:t>Acondicionamiento vías públicas zona alta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b/>
                <w:bCs/>
                <w:color w:val="000000"/>
                <w:lang w:eastAsia="es-ES"/>
              </w:rPr>
              <w:t>607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b/>
                <w:color w:val="000000"/>
                <w:lang w:eastAsia="es-ES"/>
              </w:rPr>
              <w:t>33.342,66 €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069A0">
              <w:rPr>
                <w:rFonts w:cs="Calibri"/>
                <w:w w:val="99"/>
                <w:sz w:val="20"/>
                <w:szCs w:val="20"/>
              </w:rPr>
              <w:t>33.342,66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069A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069A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069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069A0">
              <w:rPr>
                <w:rFonts w:ascii="Arial" w:hAnsi="Arial" w:cs="Arial"/>
                <w:b/>
                <w:sz w:val="15"/>
                <w:szCs w:val="15"/>
              </w:rPr>
              <w:t>607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069A0">
              <w:rPr>
                <w:rFonts w:ascii="Arial" w:hAnsi="Arial" w:cs="Arial"/>
                <w:b/>
                <w:sz w:val="15"/>
                <w:szCs w:val="15"/>
              </w:rPr>
              <w:t>Acondicionamiento vías públicas zona alta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B069A0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Lucía"/>
    <w:docVar w:name="C-A" w:val="A"/>
    <w:docVar w:name="CINCO" w:val=" "/>
    <w:docVar w:name="codayto" w:val="14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Acondicionamiento vías públicas zona alta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607"/>
    <w:docVar w:name="FDCANELEG" w:val=" "/>
    <w:docVar w:name="le" w:val="2"/>
    <w:docVar w:name="linea" w:val="Línea 2: Inversión en infraestructuras"/>
    <w:docVar w:name="MUNICIPIO" w:val="Santa Lucía"/>
    <w:docVar w:name="nuactuac" w:val="607"/>
    <w:docVar w:name="NUEVE" w:val=" "/>
    <w:docVar w:name="num" w:val="607.2023"/>
    <w:docVar w:name="numaccion" w:val="2.1.8"/>
    <w:docVar w:name="OCHO" w:val=" "/>
    <w:docVar w:name="SEIS" w:val=" "/>
    <w:docVar w:name="SIETE" w:val=" "/>
    <w:docVar w:name="TOTALGASTOFDCAN" w:val="33342,66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8F33-190E-48F3-98AF-B1283764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