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Rehabilitación Parque Juvenil- Lote 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b/>
                <w:bCs/>
                <w:color w:val="000000"/>
                <w:lang w:eastAsia="es-ES"/>
              </w:rPr>
              <w:t>609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b/>
                <w:color w:val="000000"/>
                <w:lang w:eastAsia="es-ES"/>
              </w:rPr>
              <w:t>47.933,87 €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D1490">
              <w:rPr>
                <w:rFonts w:cs="Calibri"/>
                <w:w w:val="99"/>
                <w:sz w:val="20"/>
                <w:szCs w:val="20"/>
              </w:rPr>
              <w:t>47.933,87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D149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D149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4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1490">
              <w:rPr>
                <w:rFonts w:ascii="Arial" w:hAnsi="Arial" w:cs="Arial"/>
                <w:b/>
                <w:sz w:val="15"/>
                <w:szCs w:val="15"/>
              </w:rPr>
              <w:t>609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1490">
              <w:rPr>
                <w:rFonts w:ascii="Arial" w:hAnsi="Arial" w:cs="Arial"/>
                <w:b/>
                <w:sz w:val="15"/>
                <w:szCs w:val="15"/>
              </w:rPr>
              <w:t>Rehabilitación Parque Juvenil- Lote 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D1490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Actuaciones en espacios públicos de alta potencialidad turística"/>
    <w:docVar w:name="denomactuac" w:val="Rehabilitación Parque Juvenil- Lote 2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09"/>
    <w:docVar w:name="FDCANELEG" w:val=" "/>
    <w:docVar w:name="le" w:val="2"/>
    <w:docVar w:name="linea" w:val="Línea 2: Inversión en infraestructuras"/>
    <w:docVar w:name="MUNICIPIO" w:val="Santa Lucía"/>
    <w:docVar w:name="nuactuac" w:val="609"/>
    <w:docVar w:name="NUEVE" w:val=" "/>
    <w:docVar w:name="num" w:val="609.2023"/>
    <w:docVar w:name="numaccion" w:val="2.3.8"/>
    <w:docVar w:name="OCHO" w:val=" "/>
    <w:docVar w:name="SEIS" w:val=" "/>
    <w:docVar w:name="SIETE" w:val=" "/>
    <w:docVar w:name="TOTALGASTOFDCAN" w:val="47933,87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9480-9935-47F2-A057-94052C9A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