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10331">
              <w:rPr>
                <w:rFonts w:eastAsia="Times New Roman" w:cs="Calibri"/>
                <w:color w:val="000000"/>
                <w:lang w:eastAsia="es-ES"/>
              </w:rPr>
              <w:t>Ampliación cementerio municipal Santa Lucía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810331">
              <w:rPr>
                <w:rFonts w:eastAsia="Times New Roman" w:cs="Calibri"/>
                <w:b/>
                <w:bCs/>
                <w:color w:val="000000"/>
                <w:lang w:eastAsia="es-ES"/>
              </w:rPr>
              <w:t>610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10331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10331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10331">
              <w:rPr>
                <w:rFonts w:eastAsia="Times New Roman" w:cs="Calibri"/>
                <w:color w:val="000000"/>
                <w:lang w:eastAsia="es-ES"/>
              </w:rPr>
              <w:t>2.10.4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10331">
              <w:rPr>
                <w:rFonts w:eastAsia="Times New Roman" w:cs="Calibri"/>
                <w:color w:val="000000"/>
                <w:lang w:eastAsia="es-ES"/>
              </w:rPr>
              <w:t>Otras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10331">
              <w:rPr>
                <w:rFonts w:eastAsia="Times New Roman" w:cs="Calibri"/>
                <w:color w:val="000000"/>
                <w:lang w:eastAsia="es-ES"/>
              </w:rPr>
              <w:t>SANTA LUCÍA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810331">
              <w:rPr>
                <w:rFonts w:eastAsia="Times New Roman" w:cs="Calibri"/>
                <w:b/>
                <w:color w:val="000000"/>
                <w:lang w:eastAsia="es-ES"/>
              </w:rPr>
              <w:t>97.411,82 €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810331">
              <w:rPr>
                <w:rFonts w:cs="Calibri"/>
                <w:w w:val="99"/>
                <w:sz w:val="20"/>
                <w:szCs w:val="20"/>
              </w:rPr>
              <w:t>97.411,82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810331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810331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1033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1033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1033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1033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1033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1033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1033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1033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1033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10331">
              <w:rPr>
                <w:rFonts w:ascii="Arial" w:hAnsi="Arial" w:cs="Arial"/>
                <w:b/>
                <w:sz w:val="15"/>
                <w:szCs w:val="15"/>
              </w:rPr>
              <w:t>610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10331">
              <w:rPr>
                <w:rFonts w:ascii="Arial" w:hAnsi="Arial" w:cs="Arial"/>
                <w:b/>
                <w:sz w:val="15"/>
                <w:szCs w:val="15"/>
              </w:rPr>
              <w:t>Ampliación cementerio municipal Santa Lucía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810331">
        <w:t>Santa Lucía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anta Lucía"/>
    <w:docVar w:name="C-A" w:val="A"/>
    <w:docVar w:name="CINCO" w:val=" "/>
    <w:docVar w:name="codayto" w:val="14"/>
    <w:docVar w:name="CUATRO" w:val=" "/>
    <w:docVar w:name="denomaccion" w:val="Otras Infraestructuras"/>
    <w:docVar w:name="denomactuac" w:val="Ampliación cementerio municipal Santa Lucía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Alta Mod01"/>
    <w:docVar w:name="exp" w:val="610"/>
    <w:docVar w:name="FDCANELEG" w:val=" "/>
    <w:docVar w:name="le" w:val="2"/>
    <w:docVar w:name="linea" w:val="Línea 2: Inversión en infraestructuras"/>
    <w:docVar w:name="MUNICIPIO" w:val="Santa Lucía"/>
    <w:docVar w:name="nuactuac" w:val="610"/>
    <w:docVar w:name="NUEVE" w:val=" "/>
    <w:docVar w:name="num" w:val="610.2023"/>
    <w:docVar w:name="numaccion" w:val="2.10.4"/>
    <w:docVar w:name="OCHO" w:val=" "/>
    <w:docVar w:name="SEIS" w:val=" "/>
    <w:docVar w:name="SIETE" w:val=" "/>
    <w:docVar w:name="TOTALGASTOFDCAN" w:val="97411,82"/>
    <w:docVar w:name="TRES" w:val=" 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490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0331"/>
    <w:rsid w:val="00813F68"/>
    <w:rsid w:val="008440B4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21C56"/>
    <w:rsid w:val="00922880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736A8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38C"/>
    <w:rsid w:val="00C67477"/>
    <w:rsid w:val="00C7741E"/>
    <w:rsid w:val="00C856E7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2018F"/>
    <w:rsid w:val="00E32D63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7406F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95EA1-79F4-47E3-AA9F-C4D20DF9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