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lang w:eastAsia="es-ES"/>
              </w:rPr>
              <w:t>Nueva instalación de  ventilación y climatización de la biblioteca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b/>
                <w:bCs/>
                <w:color w:val="000000"/>
                <w:lang w:eastAsia="es-ES"/>
              </w:rPr>
              <w:t>611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b/>
                <w:color w:val="000000"/>
                <w:lang w:eastAsia="es-ES"/>
              </w:rPr>
              <w:t>286.447,90 €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16F97">
              <w:rPr>
                <w:rFonts w:cs="Calibri"/>
                <w:w w:val="99"/>
                <w:sz w:val="20"/>
                <w:szCs w:val="20"/>
              </w:rPr>
              <w:t>286.447,90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16F9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16F9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6F9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16F97">
              <w:rPr>
                <w:rFonts w:ascii="Arial" w:hAnsi="Arial" w:cs="Arial"/>
                <w:b/>
                <w:sz w:val="15"/>
                <w:szCs w:val="15"/>
              </w:rPr>
              <w:t>611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16F97">
              <w:rPr>
                <w:rFonts w:ascii="Arial" w:hAnsi="Arial" w:cs="Arial"/>
                <w:b/>
                <w:sz w:val="15"/>
                <w:szCs w:val="15"/>
              </w:rPr>
              <w:t>Nueva instalación de  ventilación y climatización de la biblioteca municipal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16F97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Otras Infraestructuras"/>
    <w:docVar w:name="denomactuac" w:val="Nueva instalación de  ventilación y climatización de la biblioteca municipal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11"/>
    <w:docVar w:name="FDCANELEG" w:val=" "/>
    <w:docVar w:name="le" w:val="2"/>
    <w:docVar w:name="linea" w:val="Línea 2: Inversión en infraestructuras"/>
    <w:docVar w:name="MUNICIPIO" w:val="Santa Lucía"/>
    <w:docVar w:name="nuactuac" w:val="611"/>
    <w:docVar w:name="NUEVE" w:val=" "/>
    <w:docVar w:name="num" w:val="611.2023"/>
    <w:docVar w:name="numaccion" w:val="2.10.4"/>
    <w:docVar w:name="OCHO" w:val=" "/>
    <w:docVar w:name="SEIS" w:val=" "/>
    <w:docVar w:name="SIETE" w:val=" "/>
    <w:docVar w:name="TOTALGASTOFDCAN" w:val="286447,9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AD51-A9C9-4643-978F-37C41E09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