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lang w:eastAsia="es-ES"/>
              </w:rPr>
              <w:t>Obras RAM - Lote 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b/>
                <w:bCs/>
                <w:color w:val="000000"/>
                <w:lang w:eastAsia="es-ES"/>
              </w:rPr>
              <w:t>612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b/>
                <w:color w:val="000000"/>
                <w:lang w:eastAsia="es-ES"/>
              </w:rPr>
              <w:t>277.158,08 €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6614A">
              <w:rPr>
                <w:rFonts w:cs="Calibri"/>
                <w:w w:val="99"/>
                <w:sz w:val="20"/>
                <w:szCs w:val="20"/>
              </w:rPr>
              <w:t>277.158,08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6614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6614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614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614A">
              <w:rPr>
                <w:rFonts w:ascii="Arial" w:hAnsi="Arial" w:cs="Arial"/>
                <w:b/>
                <w:sz w:val="15"/>
                <w:szCs w:val="15"/>
              </w:rPr>
              <w:t>612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614A">
              <w:rPr>
                <w:rFonts w:ascii="Arial" w:hAnsi="Arial" w:cs="Arial"/>
                <w:b/>
                <w:sz w:val="15"/>
                <w:szCs w:val="15"/>
              </w:rPr>
              <w:t>Obras RAM - Lote 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6614A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Otras Infraestructuras"/>
    <w:docVar w:name="denomactuac" w:val="Obras RAM - Lote 1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12"/>
    <w:docVar w:name="FDCANELEG" w:val=" "/>
    <w:docVar w:name="le" w:val="2"/>
    <w:docVar w:name="linea" w:val="Línea 2: Inversión en infraestructuras"/>
    <w:docVar w:name="MUNICIPIO" w:val="Santa Lucía"/>
    <w:docVar w:name="nuactuac" w:val="612"/>
    <w:docVar w:name="NUEVE" w:val=" "/>
    <w:docVar w:name="num" w:val="612.2023"/>
    <w:docVar w:name="numaccion" w:val="2.10.4"/>
    <w:docVar w:name="OCHO" w:val=" "/>
    <w:docVar w:name="SEIS" w:val=" "/>
    <w:docVar w:name="SIETE" w:val=" "/>
    <w:docVar w:name="TOTALGASTOFDCAN" w:val="277158,08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FA6A-2EC9-4445-B3F6-893CE9ED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