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lang w:eastAsia="es-ES"/>
              </w:rPr>
              <w:t>Renovación de redes de abastecimiento de agua para consumo humano en diversas vías del municipio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b/>
                <w:bCs/>
                <w:color w:val="000000"/>
                <w:lang w:eastAsia="es-ES"/>
              </w:rPr>
              <w:t>613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b/>
                <w:color w:val="000000"/>
                <w:lang w:eastAsia="es-ES"/>
              </w:rPr>
              <w:t>149.800,00 €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917267">
              <w:rPr>
                <w:rFonts w:cs="Calibri"/>
                <w:w w:val="99"/>
                <w:sz w:val="20"/>
                <w:szCs w:val="20"/>
              </w:rPr>
              <w:t>149.800,00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91726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91726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267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917267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267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917267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72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17267">
              <w:rPr>
                <w:rFonts w:ascii="Arial" w:hAnsi="Arial" w:cs="Arial"/>
                <w:b/>
                <w:sz w:val="15"/>
                <w:szCs w:val="15"/>
              </w:rPr>
              <w:t>613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17267">
              <w:rPr>
                <w:rFonts w:ascii="Arial" w:hAnsi="Arial" w:cs="Arial"/>
                <w:b/>
                <w:sz w:val="15"/>
                <w:szCs w:val="15"/>
              </w:rPr>
              <w:t>Renovación de redes de abastecimiento de agua para consumo humano en diversas vías del municipio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917267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Abastecimiento de aguas. Volumen anual de agua conservada, protegida"/>
    <w:docVar w:name="codayto" w:val="14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Renovación de redes de abastecimiento de agua para consumo humano en diversas vías del municipio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13"/>
    <w:docVar w:name="FDCANELEG" w:val=" "/>
    <w:docVar w:name="le" w:val="2"/>
    <w:docVar w:name="linea" w:val="Línea 2: Inversión en infraestructuras"/>
    <w:docVar w:name="MUNICIPIO" w:val="Santa Lucía"/>
    <w:docVar w:name="nuactuac" w:val="613"/>
    <w:docVar w:name="NUEVE" w:val=" "/>
    <w:docVar w:name="num" w:val="613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49800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FB4E-06A5-42E4-8646-C29A9350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