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lang w:eastAsia="es-ES"/>
              </w:rPr>
              <w:t>Parque Paredilla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b/>
                <w:bCs/>
                <w:color w:val="000000"/>
                <w:lang w:eastAsia="es-ES"/>
              </w:rPr>
              <w:t>614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b/>
                <w:color w:val="000000"/>
                <w:lang w:eastAsia="es-ES"/>
              </w:rPr>
              <w:t>127.717,54 €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E7EC7">
              <w:rPr>
                <w:rFonts w:cs="Calibri"/>
                <w:w w:val="99"/>
                <w:sz w:val="20"/>
                <w:szCs w:val="20"/>
              </w:rPr>
              <w:t>127.717,54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E7EC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E7EC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E7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E7EC7">
              <w:rPr>
                <w:rFonts w:ascii="Arial" w:hAnsi="Arial" w:cs="Arial"/>
                <w:b/>
                <w:sz w:val="15"/>
                <w:szCs w:val="15"/>
              </w:rPr>
              <w:t>614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E7EC7">
              <w:rPr>
                <w:rFonts w:ascii="Arial" w:hAnsi="Arial" w:cs="Arial"/>
                <w:b/>
                <w:sz w:val="15"/>
                <w:szCs w:val="15"/>
              </w:rPr>
              <w:t>Parque Paredilla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1E7EC7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 "/>
    <w:docVar w:name="denomaccion" w:val="Otras Infraestructuras"/>
    <w:docVar w:name="denomactuac" w:val="Parque Paredilla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614"/>
    <w:docVar w:name="FDCANELEG" w:val=" "/>
    <w:docVar w:name="le" w:val="2"/>
    <w:docVar w:name="linea" w:val="Línea 2: Inversión en infraestructuras"/>
    <w:docVar w:name="MUNICIPIO" w:val="Santa Lucía"/>
    <w:docVar w:name="nuactuac" w:val="614"/>
    <w:docVar w:name="NUEVE" w:val=" "/>
    <w:docVar w:name="num" w:val="614.2023"/>
    <w:docVar w:name="numaccion" w:val="2.10.4"/>
    <w:docVar w:name="OCHO" w:val=" "/>
    <w:docVar w:name="SEIS" w:val=" "/>
    <w:docVar w:name="SIETE" w:val=" "/>
    <w:docVar w:name="TOTALGASTOFDCAN" w:val="127717,54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9EEC-5398-4687-B4C9-F8EA33BF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