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A35AC">
              <w:rPr>
                <w:rFonts w:eastAsia="Times New Roman" w:cs="Calibri"/>
                <w:color w:val="000000"/>
                <w:lang w:eastAsia="es-ES"/>
              </w:rPr>
              <w:t>Parque de San Juan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A35AC">
              <w:rPr>
                <w:rFonts w:eastAsia="Times New Roman" w:cs="Calibri"/>
                <w:b/>
                <w:bCs/>
                <w:color w:val="000000"/>
                <w:lang w:eastAsia="es-ES"/>
              </w:rPr>
              <w:t>389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A35AC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A35AC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A35AC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A35AC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A35AC">
              <w:rPr>
                <w:rFonts w:eastAsia="Times New Roman" w:cs="Calibri"/>
                <w:color w:val="000000"/>
                <w:lang w:eastAsia="es-ES"/>
              </w:rPr>
              <w:t>TELDE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A35AC">
              <w:rPr>
                <w:rFonts w:eastAsia="Times New Roman" w:cs="Calibri"/>
                <w:b/>
                <w:color w:val="000000"/>
                <w:lang w:eastAsia="es-ES"/>
              </w:rPr>
              <w:t>500.000,00 €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CA35AC">
              <w:rPr>
                <w:rFonts w:cs="Calibri"/>
                <w:w w:val="99"/>
                <w:sz w:val="20"/>
                <w:szCs w:val="20"/>
              </w:rPr>
              <w:t>500.000,00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CA35A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CA35A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A35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A35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A35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A35A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A35A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A35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A35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A35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A35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A35AC">
              <w:rPr>
                <w:rFonts w:ascii="Arial" w:hAnsi="Arial" w:cs="Arial"/>
                <w:b/>
                <w:sz w:val="15"/>
                <w:szCs w:val="15"/>
              </w:rPr>
              <w:t>389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A35AC">
              <w:rPr>
                <w:rFonts w:ascii="Arial" w:hAnsi="Arial" w:cs="Arial"/>
                <w:b/>
                <w:sz w:val="15"/>
                <w:szCs w:val="15"/>
              </w:rPr>
              <w:t>Parque de San Juan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CA35AC">
        <w:t>Telde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Telde"/>
    <w:docVar w:name="C-A" w:val="A"/>
    <w:docVar w:name="CINCO" w:val=" "/>
    <w:docVar w:name="codayto" w:val="17"/>
    <w:docVar w:name="CUATRO" w:val=" "/>
    <w:docVar w:name="denomaccion" w:val="Actuaciones en espacios públicos de alta potencialidad turística"/>
    <w:docVar w:name="denomactuac" w:val="Parque de San Juan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389"/>
    <w:docVar w:name="FDCANELEG" w:val=" "/>
    <w:docVar w:name="le" w:val="2"/>
    <w:docVar w:name="linea" w:val="Línea 2: Inversión en infraestructuras"/>
    <w:docVar w:name="MUNICIPIO" w:val="Telde"/>
    <w:docVar w:name="nuactuac" w:val="389"/>
    <w:docVar w:name="NUEVE" w:val=" "/>
    <w:docVar w:name="num" w:val="389.2023"/>
    <w:docVar w:name="numaccion" w:val="2.3.8"/>
    <w:docVar w:name="OCHO" w:val=" "/>
    <w:docVar w:name="SEIS" w:val=" "/>
    <w:docVar w:name="SIETE" w:val=" "/>
    <w:docVar w:name="TOTALGASTOFDCAN" w:val="5000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F2076"/>
    <w:rsid w:val="0078389A"/>
    <w:rsid w:val="00791A1F"/>
    <w:rsid w:val="007961BA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9B7B-829A-4446-A802-6E54F577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