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lang w:eastAsia="es-ES"/>
              </w:rPr>
              <w:t>Puesta en valor del patrimonio histórico- artístico San Juan y San Francisco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b/>
                <w:bCs/>
                <w:color w:val="000000"/>
                <w:lang w:eastAsia="es-ES"/>
              </w:rPr>
              <w:t>394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b/>
                <w:color w:val="000000"/>
                <w:lang w:eastAsia="es-ES"/>
              </w:rPr>
              <w:t>350.000,00 €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C37D9">
              <w:rPr>
                <w:rFonts w:cs="Calibri"/>
                <w:w w:val="99"/>
                <w:sz w:val="20"/>
                <w:szCs w:val="20"/>
              </w:rPr>
              <w:t>350.000,00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C37D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C37D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C37D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C37D9">
              <w:rPr>
                <w:rFonts w:ascii="Arial" w:hAnsi="Arial" w:cs="Arial"/>
                <w:b/>
                <w:sz w:val="15"/>
                <w:szCs w:val="15"/>
              </w:rPr>
              <w:t>394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C37D9">
              <w:rPr>
                <w:rFonts w:ascii="Arial" w:hAnsi="Arial" w:cs="Arial"/>
                <w:b/>
                <w:sz w:val="15"/>
                <w:szCs w:val="15"/>
              </w:rPr>
              <w:t>Puesta en valor del patrimonio histórico- artístico San Juan y San Francisco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C37D9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Actuaciones en espacios públicos de alta potencialidad turística"/>
    <w:docVar w:name="denomactuac" w:val="Puesta en valor del patrimonio histórico- artístico San Juan y San Francisco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394"/>
    <w:docVar w:name="FDCANELEG" w:val=" "/>
    <w:docVar w:name="le" w:val="2"/>
    <w:docVar w:name="linea" w:val="Línea 2: Inversión en infraestructuras"/>
    <w:docVar w:name="MUNICIPIO" w:val="Telde"/>
    <w:docVar w:name="nuactuac" w:val="394"/>
    <w:docVar w:name="NUEVE" w:val=" "/>
    <w:docVar w:name="num" w:val="394.2023"/>
    <w:docVar w:name="numaccion" w:val="2.3.8"/>
    <w:docVar w:name="OCHO" w:val=" "/>
    <w:docVar w:name="SEIS" w:val=" "/>
    <w:docVar w:name="SIETE" w:val=" "/>
    <w:docVar w:name="TOTALGASTOFDCAN" w:val="35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F2076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95A0-59F0-4934-89CC-E07A68A1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