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lang w:eastAsia="es-ES"/>
              </w:rPr>
              <w:t>Culminación plaza - parking San Juan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b/>
                <w:bCs/>
                <w:color w:val="000000"/>
                <w:lang w:eastAsia="es-ES"/>
              </w:rPr>
              <w:t>397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b/>
                <w:color w:val="000000"/>
                <w:lang w:eastAsia="es-ES"/>
              </w:rPr>
              <w:t>700.000,00 €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27F8D">
              <w:rPr>
                <w:rFonts w:cs="Calibri"/>
                <w:w w:val="99"/>
                <w:sz w:val="20"/>
                <w:szCs w:val="20"/>
              </w:rPr>
              <w:t>700.000,00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27F8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27F8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27F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27F8D">
              <w:rPr>
                <w:rFonts w:ascii="Arial" w:hAnsi="Arial" w:cs="Arial"/>
                <w:b/>
                <w:sz w:val="15"/>
                <w:szCs w:val="15"/>
              </w:rPr>
              <w:t>397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27F8D">
              <w:rPr>
                <w:rFonts w:ascii="Arial" w:hAnsi="Arial" w:cs="Arial"/>
                <w:b/>
                <w:sz w:val="15"/>
                <w:szCs w:val="15"/>
              </w:rPr>
              <w:t>Culminación plaza - parking San Juan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27F8D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Actuaciones en espacios públicos de alta potencialidad turística"/>
    <w:docVar w:name="denomactuac" w:val="Culminación plaza - parking San Juan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97"/>
    <w:docVar w:name="FDCANELEG" w:val=" "/>
    <w:docVar w:name="le" w:val="2"/>
    <w:docVar w:name="linea" w:val="Línea 2: Inversión en infraestructuras"/>
    <w:docVar w:name="MUNICIPIO" w:val="Telde"/>
    <w:docVar w:name="nuactuac" w:val="397"/>
    <w:docVar w:name="NUEVE" w:val=" "/>
    <w:docVar w:name="num" w:val="397.2023"/>
    <w:docVar w:name="numaccion" w:val="2.3.8"/>
    <w:docVar w:name="OCHO" w:val=" "/>
    <w:docVar w:name="SEIS" w:val=" "/>
    <w:docVar w:name="SIETE" w:val=" "/>
    <w:docVar w:name="TOTALGASTOFDCAN" w:val="7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D57C-86B7-4289-BAFB-6B11E3BF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