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lang w:eastAsia="es-ES"/>
              </w:rPr>
              <w:t>Distribución modular de nave El Goro y apertura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b/>
                <w:bCs/>
                <w:color w:val="000000"/>
                <w:lang w:eastAsia="es-ES"/>
              </w:rPr>
              <w:t>398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b/>
                <w:color w:val="000000"/>
                <w:lang w:eastAsia="es-ES"/>
              </w:rPr>
              <w:t>400.000,00 €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C610D">
              <w:rPr>
                <w:rFonts w:cs="Calibri"/>
                <w:w w:val="99"/>
                <w:sz w:val="20"/>
                <w:szCs w:val="20"/>
              </w:rPr>
              <w:t>400.000,00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C610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C610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61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C610D">
              <w:rPr>
                <w:rFonts w:ascii="Arial" w:hAnsi="Arial" w:cs="Arial"/>
                <w:b/>
                <w:sz w:val="15"/>
                <w:szCs w:val="15"/>
              </w:rPr>
              <w:t>398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C610D">
              <w:rPr>
                <w:rFonts w:ascii="Arial" w:hAnsi="Arial" w:cs="Arial"/>
                <w:b/>
                <w:sz w:val="15"/>
                <w:szCs w:val="15"/>
              </w:rPr>
              <w:t>Distribución modular de nave El Goro y apertura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6C610D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Otras Infraestructuras"/>
    <w:docVar w:name="denomactuac" w:val="Distribución modular de nave El Goro y apertur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98"/>
    <w:docVar w:name="FDCANELEG" w:val=" "/>
    <w:docVar w:name="le" w:val="2"/>
    <w:docVar w:name="linea" w:val="Línea 2: Inversión en infraestructuras"/>
    <w:docVar w:name="MUNICIPIO" w:val="Telde"/>
    <w:docVar w:name="nuactuac" w:val="398"/>
    <w:docVar w:name="NUEVE" w:val=" "/>
    <w:docVar w:name="num" w:val="398.2023"/>
    <w:docVar w:name="numaccion" w:val="2.10.4"/>
    <w:docVar w:name="OCHO" w:val=" "/>
    <w:docVar w:name="SEIS" w:val=" "/>
    <w:docVar w:name="SIETE" w:val=" "/>
    <w:docVar w:name="TOTALGASTOFDCAN" w:val="400000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3FD5-49EE-4020-B02B-2B1FEC15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