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lang w:eastAsia="es-ES"/>
              </w:rPr>
              <w:t>Parques y jardines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b/>
                <w:bCs/>
                <w:color w:val="000000"/>
                <w:lang w:eastAsia="es-ES"/>
              </w:rPr>
              <w:t>404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b/>
                <w:color w:val="000000"/>
                <w:lang w:eastAsia="es-ES"/>
              </w:rPr>
              <w:t>1.779.324,74 €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13F39">
              <w:rPr>
                <w:rFonts w:cs="Calibri"/>
                <w:w w:val="99"/>
                <w:sz w:val="20"/>
                <w:szCs w:val="20"/>
              </w:rPr>
              <w:t>1.779.324,74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13F3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13F3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3F3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13F39">
              <w:rPr>
                <w:rFonts w:ascii="Arial" w:hAnsi="Arial" w:cs="Arial"/>
                <w:b/>
                <w:sz w:val="15"/>
                <w:szCs w:val="15"/>
              </w:rPr>
              <w:t>404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13F39">
              <w:rPr>
                <w:rFonts w:ascii="Arial" w:hAnsi="Arial" w:cs="Arial"/>
                <w:b/>
                <w:sz w:val="15"/>
                <w:szCs w:val="15"/>
              </w:rPr>
              <w:t>Parques y jardines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813F39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 "/>
    <w:docVar w:name="denomaccion" w:val="Actuaciones en espacios públicos de alta potencialidad turística"/>
    <w:docVar w:name="denomactuac" w:val="Parques y jardines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anualidad Mod01"/>
    <w:docVar w:name="exp" w:val="404"/>
    <w:docVar w:name="FDCANELEG" w:val=" "/>
    <w:docVar w:name="le" w:val="2"/>
    <w:docVar w:name="linea" w:val="Línea 2: Inversión en infraestructuras"/>
    <w:docVar w:name="MUNICIPIO" w:val="Telde"/>
    <w:docVar w:name="nuactuac" w:val="404"/>
    <w:docVar w:name="NUEVE" w:val=" "/>
    <w:docVar w:name="num" w:val="404.2023"/>
    <w:docVar w:name="numaccion" w:val="2.3.8"/>
    <w:docVar w:name="OCHO" w:val=" "/>
    <w:docVar w:name="SEIS" w:val=" "/>
    <w:docVar w:name="SIETE" w:val=" "/>
    <w:docVar w:name="TOTALGASTOFDCAN" w:val="1779324,74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E1A9-30C5-4D76-BE1C-8525E65A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