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color w:val="000000"/>
                <w:lang w:eastAsia="es-ES"/>
              </w:rPr>
              <w:t>Rehabilitación, sustitución cubierta Auditorio Municipal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b/>
                <w:bCs/>
                <w:color w:val="000000"/>
                <w:lang w:eastAsia="es-ES"/>
              </w:rPr>
              <w:t>637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color w:val="000000"/>
                <w:lang w:eastAsia="es-ES"/>
              </w:rPr>
              <w:t>TEROR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b/>
                <w:color w:val="000000"/>
                <w:lang w:eastAsia="es-ES"/>
              </w:rPr>
              <w:t>103.501,39 €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508BF">
              <w:rPr>
                <w:rFonts w:cs="Calibri"/>
                <w:w w:val="99"/>
                <w:sz w:val="20"/>
                <w:szCs w:val="20"/>
              </w:rPr>
              <w:t>103.501,39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508B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508B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08B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508BF">
              <w:rPr>
                <w:rFonts w:ascii="Arial" w:hAnsi="Arial" w:cs="Arial"/>
                <w:b/>
                <w:sz w:val="15"/>
                <w:szCs w:val="15"/>
              </w:rPr>
              <w:t>637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508BF">
              <w:rPr>
                <w:rFonts w:ascii="Arial" w:hAnsi="Arial" w:cs="Arial"/>
                <w:b/>
                <w:sz w:val="15"/>
                <w:szCs w:val="15"/>
              </w:rPr>
              <w:t>Rehabilitación, sustitución cubierta Auditorio Municipal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E508BF">
        <w:t>Teror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Teror"/>
    <w:docVar w:name="C-A" w:val="A"/>
    <w:docVar w:name="CINCO" w:val=" "/>
    <w:docVar w:name="codayto" w:val="18"/>
    <w:docVar w:name="CUATRO" w:val=" "/>
    <w:docVar w:name="denomaccion" w:val="Actuaciones en espacios públicos de alta potencialidad turística"/>
    <w:docVar w:name="denomactuac" w:val="Rehabilitación, sustitución cubierta Auditorio Municipal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Alta Mod01"/>
    <w:docVar w:name="exp" w:val="637"/>
    <w:docVar w:name="FDCANELEG" w:val=" "/>
    <w:docVar w:name="le" w:val="2"/>
    <w:docVar w:name="linea" w:val="Línea 2: Inversión en infraestructuras"/>
    <w:docVar w:name="MUNICIPIO" w:val="Teror"/>
    <w:docVar w:name="nuactuac" w:val="637"/>
    <w:docVar w:name="NUEVE" w:val=" "/>
    <w:docVar w:name="num" w:val="637.2023"/>
    <w:docVar w:name="numaccion" w:val="2.3.8"/>
    <w:docVar w:name="OCHO" w:val=" "/>
    <w:docVar w:name="SEIS" w:val=" "/>
    <w:docVar w:name="SIETE" w:val=" "/>
    <w:docVar w:name="TOTALGASTOFDCAN" w:val="103501,39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C4E19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E1EE-7287-4383-9F15-53299E94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