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lang w:eastAsia="es-ES"/>
              </w:rPr>
              <w:t>II Fase Alcantarillado Barranco el Pino - La Peña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b/>
                <w:bCs/>
                <w:color w:val="000000"/>
                <w:lang w:eastAsia="es-ES"/>
              </w:rPr>
              <w:t>639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lang w:eastAsia="es-ES"/>
              </w:rPr>
              <w:t>TEROR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b/>
                <w:color w:val="000000"/>
                <w:lang w:eastAsia="es-ES"/>
              </w:rPr>
              <w:t>269.665,00 €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406CE">
              <w:rPr>
                <w:rFonts w:cs="Calibri"/>
                <w:w w:val="99"/>
                <w:sz w:val="20"/>
                <w:szCs w:val="20"/>
              </w:rPr>
              <w:t>269.665,00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406C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406C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CE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8406CE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CE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8406CE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06C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406CE">
              <w:rPr>
                <w:rFonts w:ascii="Arial" w:hAnsi="Arial" w:cs="Arial"/>
                <w:b/>
                <w:sz w:val="15"/>
                <w:szCs w:val="15"/>
              </w:rPr>
              <w:t>639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406CE">
              <w:rPr>
                <w:rFonts w:ascii="Arial" w:hAnsi="Arial" w:cs="Arial"/>
                <w:b/>
                <w:sz w:val="15"/>
                <w:szCs w:val="15"/>
              </w:rPr>
              <w:t>II Fase Alcantarillado Barranco el Pino - La Peña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406CE">
        <w:t>Teror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ror"/>
    <w:docVar w:name="C-A" w:val="A"/>
    <w:docVar w:name="CINCO" w:val="Abastecimiento de aguas. Volumen anual de agua conservada, protegida"/>
    <w:docVar w:name="codayto" w:val="18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II Fase Alcantarillado Barranco el Pino - La Peña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39"/>
    <w:docVar w:name="FDCANELEG" w:val=" "/>
    <w:docVar w:name="le" w:val="2"/>
    <w:docVar w:name="linea" w:val="Línea 2: Inversión en infraestructuras"/>
    <w:docVar w:name="MUNICIPIO" w:val="Teror"/>
    <w:docVar w:name="nuactuac" w:val="639"/>
    <w:docVar w:name="NUEVE" w:val=" "/>
    <w:docVar w:name="num" w:val="639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269665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06CE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F35A3-540E-49B7-944A-0A5CE4E2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