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264D7">
              <w:rPr>
                <w:rFonts w:eastAsia="Times New Roman" w:cs="Calibri"/>
                <w:color w:val="000000"/>
                <w:lang w:eastAsia="es-ES"/>
              </w:rPr>
              <w:t>Consolidación de la cancha de petanca de Caserón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C264D7">
              <w:rPr>
                <w:rFonts w:eastAsia="Times New Roman" w:cs="Calibri"/>
                <w:b/>
                <w:bCs/>
                <w:color w:val="000000"/>
                <w:lang w:eastAsia="es-ES"/>
              </w:rPr>
              <w:t>453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264D7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264D7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264D7">
              <w:rPr>
                <w:rFonts w:eastAsia="Times New Roman" w:cs="Calibri"/>
                <w:color w:val="000000"/>
                <w:lang w:eastAsia="es-ES"/>
              </w:rPr>
              <w:t>2.3.8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264D7">
              <w:rPr>
                <w:rFonts w:eastAsia="Times New Roman" w:cs="Calibri"/>
                <w:color w:val="000000"/>
                <w:lang w:eastAsia="es-ES"/>
              </w:rPr>
              <w:t>Actuaciones en espacios públicos de alta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264D7">
              <w:rPr>
                <w:rFonts w:eastAsia="Times New Roman" w:cs="Calibri"/>
                <w:color w:val="000000"/>
                <w:lang w:eastAsia="es-ES"/>
              </w:rPr>
              <w:t>VALLESECO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C264D7">
              <w:rPr>
                <w:rFonts w:eastAsia="Times New Roman" w:cs="Calibri"/>
                <w:b/>
                <w:color w:val="000000"/>
                <w:lang w:eastAsia="es-ES"/>
              </w:rPr>
              <w:t>20.000,00 €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C264D7">
              <w:rPr>
                <w:rFonts w:cs="Calibri"/>
                <w:w w:val="99"/>
                <w:sz w:val="20"/>
                <w:szCs w:val="20"/>
              </w:rPr>
              <w:t>20.000,00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C264D7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C264D7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264D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264D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264D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264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264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264D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264D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264D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264D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264D7">
              <w:rPr>
                <w:rFonts w:ascii="Arial" w:hAnsi="Arial" w:cs="Arial"/>
                <w:b/>
                <w:sz w:val="15"/>
                <w:szCs w:val="15"/>
              </w:rPr>
              <w:t>453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264D7">
              <w:rPr>
                <w:rFonts w:ascii="Arial" w:hAnsi="Arial" w:cs="Arial"/>
                <w:b/>
                <w:sz w:val="15"/>
                <w:szCs w:val="15"/>
              </w:rPr>
              <w:t>Consolidación de la cancha de petanca de Caserón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C264D7">
        <w:t>Valleseco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Valleseco"/>
    <w:docVar w:name="C-A" w:val="A"/>
    <w:docVar w:name="CINCO" w:val=" "/>
    <w:docVar w:name="codayto" w:val="20"/>
    <w:docVar w:name="CUATRO" w:val=" "/>
    <w:docVar w:name="denomaccion" w:val="Actuaciones en espacios públicos de alta potencialidad turística"/>
    <w:docVar w:name="denomactuac" w:val="Consolidación de la cancha de petanca de Caserón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453"/>
    <w:docVar w:name="FDCANELEG" w:val=" "/>
    <w:docVar w:name="le" w:val="2"/>
    <w:docVar w:name="linea" w:val="Línea 2: Inversión en infraestructuras"/>
    <w:docVar w:name="MUNICIPIO" w:val="Valleseco"/>
    <w:docVar w:name="nuactuac" w:val="453"/>
    <w:docVar w:name="NUEVE" w:val=" "/>
    <w:docVar w:name="num" w:val="453.2023"/>
    <w:docVar w:name="numaccion" w:val="2.3.8"/>
    <w:docVar w:name="OCHO" w:val=" "/>
    <w:docVar w:name="SEIS" w:val=" "/>
    <w:docVar w:name="SIETE" w:val=" "/>
    <w:docVar w:name="TOTALGASTOFDCAN" w:val="20000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C610D"/>
    <w:rsid w:val="006F2076"/>
    <w:rsid w:val="00727F8D"/>
    <w:rsid w:val="0078389A"/>
    <w:rsid w:val="00791A1F"/>
    <w:rsid w:val="007961BA"/>
    <w:rsid w:val="007D46A2"/>
    <w:rsid w:val="00813F68"/>
    <w:rsid w:val="008440B4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311F0"/>
    <w:rsid w:val="00A70C12"/>
    <w:rsid w:val="00A72BAB"/>
    <w:rsid w:val="00A82611"/>
    <w:rsid w:val="00AC0A64"/>
    <w:rsid w:val="00AC37D9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55E8F"/>
    <w:rsid w:val="00D84148"/>
    <w:rsid w:val="00D843F0"/>
    <w:rsid w:val="00D9160C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1AE05-B4F2-456F-AA91-9ABB5897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