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lang w:eastAsia="es-ES"/>
              </w:rPr>
              <w:t>Acondicionamiento de la salida Lomo Quemado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b/>
                <w:bCs/>
                <w:color w:val="000000"/>
                <w:lang w:eastAsia="es-ES"/>
              </w:rPr>
              <w:t>457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b/>
                <w:color w:val="000000"/>
                <w:lang w:eastAsia="es-ES"/>
              </w:rPr>
              <w:t>30.000,00 €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569C8">
              <w:rPr>
                <w:rFonts w:cs="Calibri"/>
                <w:w w:val="99"/>
                <w:sz w:val="20"/>
                <w:szCs w:val="20"/>
              </w:rPr>
              <w:t>30.000,00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569C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569C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69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569C8">
              <w:rPr>
                <w:rFonts w:ascii="Arial" w:hAnsi="Arial" w:cs="Arial"/>
                <w:b/>
                <w:sz w:val="15"/>
                <w:szCs w:val="15"/>
              </w:rPr>
              <w:t>457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569C8">
              <w:rPr>
                <w:rFonts w:ascii="Arial" w:hAnsi="Arial" w:cs="Arial"/>
                <w:b/>
                <w:sz w:val="15"/>
                <w:szCs w:val="15"/>
              </w:rPr>
              <w:t>Acondicionamiento de la salida Lomo Quemado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8569C8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Acondicionamiento de la salida Lomo Quemad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57"/>
    <w:docVar w:name="FDCANELEG" w:val=" "/>
    <w:docVar w:name="le" w:val="2"/>
    <w:docVar w:name="linea" w:val="Línea 2: Inversión en infraestructuras"/>
    <w:docVar w:name="MUNICIPIO" w:val="Valleseco"/>
    <w:docVar w:name="nuactuac" w:val="457"/>
    <w:docVar w:name="NUEVE" w:val=" "/>
    <w:docVar w:name="num" w:val="457.2023"/>
    <w:docVar w:name="numaccion" w:val="2.1.8"/>
    <w:docVar w:name="OCHO" w:val=" "/>
    <w:docVar w:name="SEIS" w:val=" "/>
    <w:docVar w:name="SIETE" w:val=" "/>
    <w:docVar w:name="TOTALGASTOFDCAN" w:val="3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8389A"/>
    <w:rsid w:val="00791A1F"/>
    <w:rsid w:val="007961BA"/>
    <w:rsid w:val="007D46A2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33E7-8B13-4E45-B68C-0B723336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