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lang w:eastAsia="es-ES"/>
              </w:rPr>
              <w:t>Vía de acceso a La Farola. Con redacción de proyecto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b/>
                <w:bCs/>
                <w:color w:val="000000"/>
                <w:lang w:eastAsia="es-ES"/>
              </w:rPr>
              <w:t>461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b/>
                <w:color w:val="000000"/>
                <w:lang w:eastAsia="es-ES"/>
              </w:rPr>
              <w:t>72.343,88 €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D3F95">
              <w:rPr>
                <w:rFonts w:cs="Calibri"/>
                <w:w w:val="99"/>
                <w:sz w:val="20"/>
                <w:szCs w:val="20"/>
              </w:rPr>
              <w:t>72.343,88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D3F9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D3F9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3F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D3F95">
              <w:rPr>
                <w:rFonts w:ascii="Arial" w:hAnsi="Arial" w:cs="Arial"/>
                <w:b/>
                <w:sz w:val="15"/>
                <w:szCs w:val="15"/>
              </w:rPr>
              <w:t>461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D3F95">
              <w:rPr>
                <w:rFonts w:ascii="Arial" w:hAnsi="Arial" w:cs="Arial"/>
                <w:b/>
                <w:sz w:val="15"/>
                <w:szCs w:val="15"/>
              </w:rPr>
              <w:t>Vía de acceso a La Farola. Con redacción de proyecto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0D3F95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Vía de acceso a La Farola. Con redacción de proyect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61"/>
    <w:docVar w:name="FDCANELEG" w:val=" "/>
    <w:docVar w:name="le" w:val="2"/>
    <w:docVar w:name="linea" w:val="Línea 2: Inversión en infraestructuras"/>
    <w:docVar w:name="MUNICIPIO" w:val="Valleseco"/>
    <w:docVar w:name="nuactuac" w:val="461"/>
    <w:docVar w:name="NUEVE" w:val=" "/>
    <w:docVar w:name="num" w:val="461.2023"/>
    <w:docVar w:name="numaccion" w:val="2.1.8"/>
    <w:docVar w:name="OCHO" w:val=" "/>
    <w:docVar w:name="SEIS" w:val=" "/>
    <w:docVar w:name="SIETE" w:val=" "/>
    <w:docVar w:name="TOTALGASTOFDCAN" w:val="72343,88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F3E7-28BE-4FBF-BD64-524EC67C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