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lang w:eastAsia="es-ES"/>
              </w:rPr>
              <w:t>Accesibilidad a La Solana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b/>
                <w:bCs/>
                <w:color w:val="000000"/>
                <w:lang w:eastAsia="es-ES"/>
              </w:rPr>
              <w:t>465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b/>
                <w:color w:val="000000"/>
                <w:lang w:eastAsia="es-ES"/>
              </w:rPr>
              <w:t>20.000,00 €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14CBE">
              <w:rPr>
                <w:rFonts w:cs="Calibri"/>
                <w:w w:val="99"/>
                <w:sz w:val="20"/>
                <w:szCs w:val="20"/>
              </w:rPr>
              <w:t>20.000,00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14CB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14CB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14CB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14CBE">
              <w:rPr>
                <w:rFonts w:ascii="Arial" w:hAnsi="Arial" w:cs="Arial"/>
                <w:b/>
                <w:sz w:val="15"/>
                <w:szCs w:val="15"/>
              </w:rPr>
              <w:t>465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14CBE">
              <w:rPr>
                <w:rFonts w:ascii="Arial" w:hAnsi="Arial" w:cs="Arial"/>
                <w:b/>
                <w:sz w:val="15"/>
                <w:szCs w:val="15"/>
              </w:rPr>
              <w:t>Accesibilidad a La Solana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214CBE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Accesibilidad a La Solan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65"/>
    <w:docVar w:name="FDCANELEG" w:val=" "/>
    <w:docVar w:name="le" w:val="2"/>
    <w:docVar w:name="linea" w:val="Línea 2: Inversión en infraestructuras"/>
    <w:docVar w:name="MUNICIPIO" w:val="Valleseco"/>
    <w:docVar w:name="nuactuac" w:val="465"/>
    <w:docVar w:name="NUEVE" w:val=" "/>
    <w:docVar w:name="num" w:val="465.2023"/>
    <w:docVar w:name="numaccion" w:val="2.1.8"/>
    <w:docVar w:name="OCHO" w:val=" "/>
    <w:docVar w:name="SEIS" w:val=" "/>
    <w:docVar w:name="SIETE" w:val=" "/>
    <w:docVar w:name="TOTALGASTOFDCAN" w:val="2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2FA5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A642-3C7A-44A0-8CBB-9EC17625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