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lang w:eastAsia="es-ES"/>
              </w:rPr>
              <w:t>Vía de acceso en Las Tosquillas de El Fondillo. Con redacción de proyecto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b/>
                <w:bCs/>
                <w:color w:val="000000"/>
                <w:lang w:eastAsia="es-ES"/>
              </w:rPr>
              <w:t>468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b/>
                <w:color w:val="000000"/>
                <w:lang w:eastAsia="es-ES"/>
              </w:rPr>
              <w:t>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30EB6">
              <w:rPr>
                <w:rFonts w:cs="Calibri"/>
                <w:w w:val="99"/>
                <w:sz w:val="20"/>
                <w:szCs w:val="20"/>
              </w:rPr>
              <w:t>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30EB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30EB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30EB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30EB6">
              <w:rPr>
                <w:rFonts w:ascii="Arial" w:hAnsi="Arial" w:cs="Arial"/>
                <w:b/>
                <w:sz w:val="15"/>
                <w:szCs w:val="15"/>
              </w:rPr>
              <w:t>468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30EB6">
              <w:rPr>
                <w:rFonts w:ascii="Arial" w:hAnsi="Arial" w:cs="Arial"/>
                <w:b/>
                <w:sz w:val="15"/>
                <w:szCs w:val="15"/>
              </w:rPr>
              <w:t>Vía de acceso en Las Tosquillas de El Fondillo. Con redacción de proyecto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F30EB6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Vía de acceso en Las Tosquillas de El Fondillo. Con redacción de proyect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68"/>
    <w:docVar w:name="FDCANELEG" w:val=" "/>
    <w:docVar w:name="le" w:val="2"/>
    <w:docVar w:name="linea" w:val="Línea 2: Inversión en infraestructuras"/>
    <w:docVar w:name="MUNICIPIO" w:val="Valleseco"/>
    <w:docVar w:name="nuactuac" w:val="468"/>
    <w:docVar w:name="NUEVE" w:val=" "/>
    <w:docVar w:name="num" w:val="468.2023"/>
    <w:docVar w:name="numaccion" w:val="2.1.8"/>
    <w:docVar w:name="OCHO" w:val=" "/>
    <w:docVar w:name="SEIS" w:val=" "/>
    <w:docVar w:name="SIETE" w:val=" "/>
    <w:docVar w:name="TOTALGASTOFDCAN" w:val="5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1325-7383-4628-AF91-9D63E6E7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