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Vía de acceso a las Cuevas de Troyanas. Con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b/>
                <w:bCs/>
                <w:color w:val="000000"/>
                <w:lang w:eastAsia="es-ES"/>
              </w:rPr>
              <w:t>469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074D6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074D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074D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074D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074D6">
              <w:rPr>
                <w:rFonts w:ascii="Arial" w:hAnsi="Arial" w:cs="Arial"/>
                <w:b/>
                <w:sz w:val="15"/>
                <w:szCs w:val="15"/>
              </w:rPr>
              <w:t>469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074D6">
              <w:rPr>
                <w:rFonts w:ascii="Arial" w:hAnsi="Arial" w:cs="Arial"/>
                <w:b/>
                <w:sz w:val="15"/>
                <w:szCs w:val="15"/>
              </w:rPr>
              <w:t>Vía de acceso a las Cuevas de Troyanas. Con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074D6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 acceso a las Cuevas de Troyanas. Con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9"/>
    <w:docVar w:name="FDCANELEG" w:val=" "/>
    <w:docVar w:name="le" w:val="2"/>
    <w:docVar w:name="linea" w:val="Línea 2: Inversión en infraestructuras"/>
    <w:docVar w:name="MUNICIPIO" w:val="Valleseco"/>
    <w:docVar w:name="nuactuac" w:val="469"/>
    <w:docVar w:name="NUEVE" w:val=" "/>
    <w:docVar w:name="num" w:val="469.2023"/>
    <w:docVar w:name="numaccion" w:val="2.1.8"/>
    <w:docVar w:name="OCHO" w:val=" "/>
    <w:docVar w:name="SEIS" w:val=" "/>
    <w:docVar w:name="SIETE" w:val=" "/>
    <w:docVar w:name="TOTALGASTOFDCAN" w:val="4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7474-BD01-44F6-AC4E-AB0AA0C3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