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Nueva instalación baja tensión de la Estación de Guaguas de Gáldar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b/>
                <w:bCs/>
                <w:color w:val="000000"/>
                <w:lang w:eastAsia="es-ES"/>
              </w:rPr>
              <w:t>24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b/>
                <w:color w:val="000000"/>
                <w:lang w:eastAsia="es-ES"/>
              </w:rPr>
              <w:t>202.264,24 €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522498">
              <w:rPr>
                <w:rFonts w:cs="Calibri"/>
                <w:w w:val="99"/>
                <w:sz w:val="20"/>
                <w:szCs w:val="20"/>
              </w:rPr>
              <w:t>202.264,24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52249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52249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2498">
              <w:rPr>
                <w:rFonts w:ascii="Arial" w:hAnsi="Arial" w:cs="Arial"/>
                <w:b/>
                <w:sz w:val="15"/>
                <w:szCs w:val="15"/>
              </w:rPr>
              <w:t>24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22498">
              <w:rPr>
                <w:rFonts w:ascii="Arial" w:hAnsi="Arial" w:cs="Arial"/>
                <w:b/>
                <w:sz w:val="15"/>
                <w:szCs w:val="15"/>
              </w:rPr>
              <w:t>Nueva instalación baja tensión de la Estación de Guaguas de Gáldar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2249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Nueva instalación baja tensión de la Estación de Guaguas de Gáldar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522498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Nueva instalación baja tensión de la Estación de Guaguas de Gáldar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24"/>
    <w:docVar w:name="FDCANELEG" w:val=" "/>
    <w:docVar w:name="le" w:val="2"/>
    <w:docVar w:name="linea" w:val="Línea 2: Inversión en infraestructuras"/>
    <w:docVar w:name="MUNICIPIO" w:val="AUTGC"/>
    <w:docVar w:name="nuactuac" w:val="24"/>
    <w:docVar w:name="NUEVE" w:val=" "/>
    <w:docVar w:name="num" w:val="24.2023"/>
    <w:docVar w:name="numaccion" w:val="2.1.7"/>
    <w:docVar w:name="OCHO" w:val=" "/>
    <w:docVar w:name="SEIS" w:val=" "/>
    <w:docVar w:name="SIETE" w:val=" "/>
    <w:docVar w:name="TOTALGASTOFDCAN" w:val="202264,24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B684-B9EB-4442-9F4A-C954EEEB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