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lang w:eastAsia="es-ES"/>
              </w:rPr>
              <w:t>Parada Preferente de Santa Brígida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b/>
                <w:bCs/>
                <w:color w:val="000000"/>
                <w:lang w:eastAsia="es-ES"/>
              </w:rPr>
              <w:t>27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b/>
                <w:color w:val="000000"/>
                <w:lang w:eastAsia="es-ES"/>
              </w:rPr>
              <w:t>924.400,00 €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D1E6E">
              <w:rPr>
                <w:rFonts w:cs="Calibri"/>
                <w:w w:val="99"/>
                <w:sz w:val="20"/>
                <w:szCs w:val="20"/>
              </w:rPr>
              <w:t>924.400,00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D1E6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D1E6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D1E6E">
              <w:rPr>
                <w:rFonts w:ascii="Arial" w:hAnsi="Arial" w:cs="Arial"/>
                <w:b/>
                <w:sz w:val="15"/>
                <w:szCs w:val="15"/>
              </w:rPr>
              <w:t>27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D1E6E">
              <w:rPr>
                <w:rFonts w:ascii="Arial" w:hAnsi="Arial" w:cs="Arial"/>
                <w:b/>
                <w:sz w:val="15"/>
                <w:szCs w:val="15"/>
              </w:rPr>
              <w:t>Parada Preferente de Santa Brígida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D1E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Parada Preferente de Santa Brígida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ED1E6E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Parada Preferente de Santa Brígid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27"/>
    <w:docVar w:name="FDCANELEG" w:val=" "/>
    <w:docVar w:name="le" w:val="2"/>
    <w:docVar w:name="linea" w:val="Línea 2: Inversión en infraestructuras"/>
    <w:docVar w:name="MUNICIPIO" w:val="AUTGC"/>
    <w:docVar w:name="nuactuac" w:val="27"/>
    <w:docVar w:name="NUEVE" w:val=" "/>
    <w:docVar w:name="num" w:val="27.2023"/>
    <w:docVar w:name="numaccion" w:val="2.1.7"/>
    <w:docVar w:name="OCHO" w:val=" "/>
    <w:docVar w:name="SEIS" w:val=" "/>
    <w:docVar w:name="SIETE" w:val=" "/>
    <w:docVar w:name="TOTALGASTOFDCAN" w:val="9244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502F81"/>
    <w:rsid w:val="00522498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F6A4-D4D7-4813-958F-399DE127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