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lang w:eastAsia="es-ES"/>
              </w:rPr>
              <w:t>Rehabilitación  Parada Preferente de San Mateo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b/>
                <w:bCs/>
                <w:color w:val="000000"/>
                <w:lang w:eastAsia="es-ES"/>
              </w:rPr>
              <w:t>28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b/>
                <w:color w:val="000000"/>
                <w:lang w:eastAsia="es-ES"/>
              </w:rPr>
              <w:t>160.000,00 €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F1CB7">
              <w:rPr>
                <w:rFonts w:cs="Calibri"/>
                <w:w w:val="99"/>
                <w:sz w:val="20"/>
                <w:szCs w:val="20"/>
              </w:rPr>
              <w:t>160.000,00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F1CB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F1CB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F1CB7">
              <w:rPr>
                <w:rFonts w:ascii="Arial" w:hAnsi="Arial" w:cs="Arial"/>
                <w:b/>
                <w:sz w:val="15"/>
                <w:szCs w:val="15"/>
              </w:rPr>
              <w:t>28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F1CB7">
              <w:rPr>
                <w:rFonts w:ascii="Arial" w:hAnsi="Arial" w:cs="Arial"/>
                <w:b/>
                <w:sz w:val="15"/>
                <w:szCs w:val="15"/>
              </w:rPr>
              <w:t>Rehabilitación  Parada Preferente de San Mateo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1CB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 Parada Preferente de San Mateo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F1CB7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Rehabilitación  Parada Preferente de San Mate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28"/>
    <w:docVar w:name="FDCANELEG" w:val=" "/>
    <w:docVar w:name="le" w:val="2"/>
    <w:docVar w:name="linea" w:val="Línea 2: Inversión en infraestructuras"/>
    <w:docVar w:name="MUNICIPIO" w:val="AUTGC"/>
    <w:docVar w:name="nuactuac" w:val="28"/>
    <w:docVar w:name="NUEVE" w:val=" "/>
    <w:docVar w:name="num" w:val="28.2023"/>
    <w:docVar w:name="numaccion" w:val="2.1.7"/>
    <w:docVar w:name="OCHO" w:val=" "/>
    <w:docVar w:name="SEIS" w:val=" "/>
    <w:docVar w:name="SIETE" w:val=" "/>
    <w:docVar w:name="TOTALGASTOFDCAN" w:val="16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4F1CB7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B1FE-83C5-4234-A573-618E520C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