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lang w:eastAsia="es-ES"/>
              </w:rPr>
              <w:t>Parada Preferente de Parque Tropical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b/>
                <w:bCs/>
                <w:color w:val="000000"/>
                <w:lang w:eastAsia="es-ES"/>
              </w:rPr>
              <w:t>29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b/>
                <w:color w:val="000000"/>
                <w:lang w:eastAsia="es-ES"/>
              </w:rPr>
              <w:t>550.000,00 €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D21B7">
              <w:rPr>
                <w:rFonts w:cs="Calibri"/>
                <w:w w:val="99"/>
                <w:sz w:val="20"/>
                <w:szCs w:val="20"/>
              </w:rPr>
              <w:t>550.000,00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D21B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D21B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D21B7">
              <w:rPr>
                <w:rFonts w:ascii="Arial" w:hAnsi="Arial" w:cs="Arial"/>
                <w:b/>
                <w:sz w:val="15"/>
                <w:szCs w:val="15"/>
              </w:rPr>
              <w:t>29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D21B7">
              <w:rPr>
                <w:rFonts w:ascii="Arial" w:hAnsi="Arial" w:cs="Arial"/>
                <w:b/>
                <w:sz w:val="15"/>
                <w:szCs w:val="15"/>
              </w:rPr>
              <w:t>Parada Preferente de Parque Tropical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D21B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Parada Preferente de Parque Tropical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3D21B7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Parada Preferente de Parque Tropical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29"/>
    <w:docVar w:name="FDCANELEG" w:val=" "/>
    <w:docVar w:name="le" w:val="2"/>
    <w:docVar w:name="linea" w:val="Línea 2: Inversión en infraestructuras"/>
    <w:docVar w:name="MUNICIPIO" w:val="AUTGC"/>
    <w:docVar w:name="nuactuac" w:val="29"/>
    <w:docVar w:name="NUEVE" w:val=" "/>
    <w:docVar w:name="num" w:val="29.2023"/>
    <w:docVar w:name="numaccion" w:val="2.1.7"/>
    <w:docVar w:name="OCHO" w:val=" "/>
    <w:docVar w:name="SEIS" w:val=" "/>
    <w:docVar w:name="SIETE" w:val=" "/>
    <w:docVar w:name="TOTALGASTOFDCAN" w:val="55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4F1CB7"/>
    <w:rsid w:val="00502F81"/>
    <w:rsid w:val="00522498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B82C-6A85-4835-B243-4C16B58A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