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lang w:eastAsia="es-ES"/>
              </w:rPr>
              <w:t>Mampara  de cerramiento de la zona de espera de la Parada Preferente de Teror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b/>
                <w:bCs/>
                <w:color w:val="000000"/>
                <w:lang w:eastAsia="es-ES"/>
              </w:rPr>
              <w:t>32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b/>
                <w:color w:val="000000"/>
                <w:lang w:eastAsia="es-ES"/>
              </w:rPr>
              <w:t>123.643,78 €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74AA8">
              <w:rPr>
                <w:rFonts w:cs="Calibri"/>
                <w:w w:val="99"/>
                <w:sz w:val="20"/>
                <w:szCs w:val="20"/>
              </w:rPr>
              <w:t>123.643,78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74AA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74AA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74AA8">
              <w:rPr>
                <w:rFonts w:ascii="Arial" w:hAnsi="Arial" w:cs="Arial"/>
                <w:b/>
                <w:sz w:val="15"/>
                <w:szCs w:val="15"/>
              </w:rPr>
              <w:t>32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74AA8">
              <w:rPr>
                <w:rFonts w:ascii="Arial" w:hAnsi="Arial" w:cs="Arial"/>
                <w:b/>
                <w:sz w:val="15"/>
                <w:szCs w:val="15"/>
              </w:rPr>
              <w:t>Mampara  de cerramiento de la zona de espera de la Parada Preferente de Teror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4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Mampara  de cerramiento de la zona de espera de la Parada Preferente de Teror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774AA8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Mampara  de cerramiento de la zona de espera de la Parada Preferente de Teror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2"/>
    <w:docVar w:name="FDCANELEG" w:val=" "/>
    <w:docVar w:name="le" w:val="2"/>
    <w:docVar w:name="linea" w:val="Línea 2: Inversión en infraestructuras"/>
    <w:docVar w:name="MUNICIPIO" w:val="AUTGC"/>
    <w:docVar w:name="nuactuac" w:val="32"/>
    <w:docVar w:name="NUEVE" w:val=" "/>
    <w:docVar w:name="num" w:val="32.2023"/>
    <w:docVar w:name="numaccion" w:val="2.1.7"/>
    <w:docVar w:name="OCHO" w:val=" "/>
    <w:docVar w:name="SEIS" w:val=" "/>
    <w:docVar w:name="SIETE" w:val=" "/>
    <w:docVar w:name="TOTALGASTOFDCAN" w:val="123643,78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4F1CB7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8768-2389-4198-A9EB-EEC2844F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