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lang w:eastAsia="es-ES"/>
              </w:rPr>
              <w:t>Paradas de la carretera GC-2 (proyecto y obra)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b/>
                <w:bCs/>
                <w:color w:val="000000"/>
                <w:lang w:eastAsia="es-ES"/>
              </w:rPr>
              <w:t>33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b/>
                <w:color w:val="000000"/>
                <w:lang w:eastAsia="es-ES"/>
              </w:rPr>
              <w:t>60.000,00 €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45F42">
              <w:rPr>
                <w:rFonts w:cs="Calibri"/>
                <w:w w:val="99"/>
                <w:sz w:val="20"/>
                <w:szCs w:val="20"/>
              </w:rPr>
              <w:t>60.000,00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45F4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45F4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45F42">
              <w:rPr>
                <w:rFonts w:ascii="Arial" w:hAnsi="Arial" w:cs="Arial"/>
                <w:b/>
                <w:sz w:val="15"/>
                <w:szCs w:val="15"/>
              </w:rPr>
              <w:t>33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45F42">
              <w:rPr>
                <w:rFonts w:ascii="Arial" w:hAnsi="Arial" w:cs="Arial"/>
                <w:b/>
                <w:sz w:val="15"/>
                <w:szCs w:val="15"/>
              </w:rPr>
              <w:t>Paradas de la carretera GC-2 (proyecto y obra)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45F4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Paradas de la carretera GC-2 (proyecto y obra)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45F42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Paradas de la carretera GC-2 (proyecto y obra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3"/>
    <w:docVar w:name="FDCANELEG" w:val=" "/>
    <w:docVar w:name="le" w:val="2"/>
    <w:docVar w:name="linea" w:val="Línea 2: Inversión en infraestructuras"/>
    <w:docVar w:name="MUNICIPIO" w:val="AUTGC"/>
    <w:docVar w:name="nuactuac" w:val="33"/>
    <w:docVar w:name="NUEVE" w:val=" "/>
    <w:docVar w:name="num" w:val="33.2023"/>
    <w:docVar w:name="numaccion" w:val="2.1.7"/>
    <w:docVar w:name="OCHO" w:val=" "/>
    <w:docVar w:name="SEIS" w:val=" "/>
    <w:docVar w:name="SIETE" w:val=" "/>
    <w:docVar w:name="TOTALGASTOFDCAN" w:val="6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41CE-7B39-4402-81C3-84B54150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