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lang w:eastAsia="es-ES"/>
              </w:rPr>
              <w:t>Parada en Avda. de España, Playa del Inglés (Complejo Los Tucanes)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b/>
                <w:bCs/>
                <w:color w:val="000000"/>
                <w:lang w:eastAsia="es-ES"/>
              </w:rPr>
              <w:t>35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b/>
                <w:color w:val="000000"/>
                <w:lang w:eastAsia="es-ES"/>
              </w:rPr>
              <w:t>13.700,00 €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84C90">
              <w:rPr>
                <w:rFonts w:cs="Calibri"/>
                <w:w w:val="99"/>
                <w:sz w:val="20"/>
                <w:szCs w:val="20"/>
              </w:rPr>
              <w:t>13.700,00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84C9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84C9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84C90">
              <w:rPr>
                <w:rFonts w:ascii="Arial" w:hAnsi="Arial" w:cs="Arial"/>
                <w:b/>
                <w:sz w:val="15"/>
                <w:szCs w:val="15"/>
              </w:rPr>
              <w:t>35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84C90">
              <w:rPr>
                <w:rFonts w:ascii="Arial" w:hAnsi="Arial" w:cs="Arial"/>
                <w:b/>
                <w:sz w:val="15"/>
                <w:szCs w:val="15"/>
              </w:rPr>
              <w:t>Parada en Avda. de España, Playa del Inglés (Complejo Los Tucanes)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84C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Parada en Avda. de España, Playa del Inglés (Complejo Los Tucanes)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584C90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Parada en Avda. de España, Playa del Inglés (Complejo Los Tucanes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5"/>
    <w:docVar w:name="FDCANELEG" w:val=" "/>
    <w:docVar w:name="le" w:val="2"/>
    <w:docVar w:name="linea" w:val="Línea 2: Inversión en infraestructuras"/>
    <w:docVar w:name="MUNICIPIO" w:val="AUTGC"/>
    <w:docVar w:name="nuactuac" w:val="35"/>
    <w:docVar w:name="NUEVE" w:val=" "/>
    <w:docVar w:name="num" w:val="35.2023"/>
    <w:docVar w:name="numaccion" w:val="2.1.7"/>
    <w:docVar w:name="OCHO" w:val=" "/>
    <w:docVar w:name="SEIS" w:val=" "/>
    <w:docVar w:name="SIETE" w:val=" "/>
    <w:docVar w:name="TOTALGASTOFDCAN" w:val="137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173D-B710-4AAF-8B21-07C26876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