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lang w:eastAsia="es-ES"/>
              </w:rPr>
              <w:t>Rehabilitación  Escaleras de Santa Catalina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b/>
                <w:bCs/>
                <w:color w:val="000000"/>
                <w:lang w:eastAsia="es-ES"/>
              </w:rPr>
              <w:t>36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b/>
                <w:color w:val="000000"/>
                <w:lang w:eastAsia="es-ES"/>
              </w:rPr>
              <w:t>30.000,00 €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440436">
              <w:rPr>
                <w:rFonts w:cs="Calibri"/>
                <w:w w:val="99"/>
                <w:sz w:val="20"/>
                <w:szCs w:val="20"/>
              </w:rPr>
              <w:t>30.000,00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440436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440436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40436">
              <w:rPr>
                <w:rFonts w:ascii="Arial" w:hAnsi="Arial" w:cs="Arial"/>
                <w:b/>
                <w:sz w:val="15"/>
                <w:szCs w:val="15"/>
              </w:rPr>
              <w:t>36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40436">
              <w:rPr>
                <w:rFonts w:ascii="Arial" w:hAnsi="Arial" w:cs="Arial"/>
                <w:b/>
                <w:sz w:val="15"/>
                <w:szCs w:val="15"/>
              </w:rPr>
              <w:t>Rehabilitación  Escaleras de Santa Catalina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4043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Rehabilitación  Escaleras de Santa Catalina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440436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Rehabilitación  Escaleras de Santa Catalina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6"/>
    <w:docVar w:name="FDCANELEG" w:val=" "/>
    <w:docVar w:name="le" w:val="2"/>
    <w:docVar w:name="linea" w:val="Línea 2: Inversión en infraestructuras"/>
    <w:docVar w:name="MUNICIPIO" w:val="AUTGC"/>
    <w:docVar w:name="nuactuac" w:val="36"/>
    <w:docVar w:name="NUEVE" w:val=" "/>
    <w:docVar w:name="num" w:val="36.2023"/>
    <w:docVar w:name="numaccion" w:val="2.1.7"/>
    <w:docVar w:name="OCHO" w:val=" "/>
    <w:docVar w:name="SEIS" w:val=" "/>
    <w:docVar w:name="SIETE" w:val=" "/>
    <w:docVar w:name="TOTALGASTOFDCAN" w:val="3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557D-8416-4B2D-81BA-9A27242B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