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lang w:eastAsia="es-ES"/>
              </w:rPr>
              <w:t>Obras de mejora de los Baños Públicos del Intercambiador  de Santa Catalina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b/>
                <w:bCs/>
                <w:color w:val="000000"/>
                <w:lang w:eastAsia="es-ES"/>
              </w:rPr>
              <w:t>37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b/>
                <w:color w:val="000000"/>
                <w:lang w:eastAsia="es-ES"/>
              </w:rPr>
              <w:t>60.000,00 €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76F88">
              <w:rPr>
                <w:rFonts w:cs="Calibri"/>
                <w:w w:val="99"/>
                <w:sz w:val="20"/>
                <w:szCs w:val="20"/>
              </w:rPr>
              <w:t>60.000,00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76F8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76F8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76F88">
              <w:rPr>
                <w:rFonts w:ascii="Arial" w:hAnsi="Arial" w:cs="Arial"/>
                <w:b/>
                <w:sz w:val="15"/>
                <w:szCs w:val="15"/>
              </w:rPr>
              <w:t>37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76F88">
              <w:rPr>
                <w:rFonts w:ascii="Arial" w:hAnsi="Arial" w:cs="Arial"/>
                <w:b/>
                <w:sz w:val="15"/>
                <w:szCs w:val="15"/>
              </w:rPr>
              <w:t>Obras de mejora de los Baños Públicos del Intercambiador  de Santa Catalina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37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6F8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Obras de mejora de los Baños Públicos del Intercambiador  de Santa Catalina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76F88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Obras de mejora de los Baños Públicos del Intercambiador  de Santa Catalina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7"/>
    <w:docVar w:name="FDCANELEG" w:val=" "/>
    <w:docVar w:name="le" w:val="2"/>
    <w:docVar w:name="linea" w:val="Línea 2: Inversión en infraestructuras"/>
    <w:docVar w:name="MUNICIPIO" w:val="AUTGC"/>
    <w:docVar w:name="nuactuac" w:val="37"/>
    <w:docVar w:name="NUEVE" w:val=" "/>
    <w:docVar w:name="num" w:val="37.2023"/>
    <w:docVar w:name="numaccion" w:val="2.1.7"/>
    <w:docVar w:name="OCHO" w:val=" "/>
    <w:docVar w:name="SEIS" w:val=" "/>
    <w:docVar w:name="SIETE" w:val=" "/>
    <w:docVar w:name="TOTALGASTOFDCAN" w:val="60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45F42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CA0E-CCB0-4E3E-BCA4-12722C50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