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lang w:eastAsia="es-ES"/>
              </w:rPr>
              <w:t>Instalación  de Ascensor en la Estación de San Telmo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b/>
                <w:bCs/>
                <w:color w:val="000000"/>
                <w:lang w:eastAsia="es-ES"/>
              </w:rPr>
              <w:t>39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b/>
                <w:color w:val="000000"/>
                <w:lang w:eastAsia="es-ES"/>
              </w:rPr>
              <w:t>90.950,00 €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25DC9">
              <w:rPr>
                <w:rFonts w:cs="Calibri"/>
                <w:w w:val="99"/>
                <w:sz w:val="20"/>
                <w:szCs w:val="20"/>
              </w:rPr>
              <w:t>90.950,00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25DC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25DC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25DC9">
              <w:rPr>
                <w:rFonts w:ascii="Arial" w:hAnsi="Arial" w:cs="Arial"/>
                <w:b/>
                <w:sz w:val="15"/>
                <w:szCs w:val="15"/>
              </w:rPr>
              <w:t>39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25DC9">
              <w:rPr>
                <w:rFonts w:ascii="Arial" w:hAnsi="Arial" w:cs="Arial"/>
                <w:b/>
                <w:sz w:val="15"/>
                <w:szCs w:val="15"/>
              </w:rPr>
              <w:t>Instalación  de Ascensor en la Estación de San Telmo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25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Instalación  de Ascensor en la Estación de San Telmo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25DC9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Instalación  de Ascensor en la Estación de San Telm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9"/>
    <w:docVar w:name="FDCANELEG" w:val=" "/>
    <w:docVar w:name="le" w:val="2"/>
    <w:docVar w:name="linea" w:val="Línea 2: Inversión en infraestructuras"/>
    <w:docVar w:name="MUNICIPIO" w:val="AUTGC"/>
    <w:docVar w:name="nuactuac" w:val="39"/>
    <w:docVar w:name="NUEVE" w:val=" "/>
    <w:docVar w:name="num" w:val="39.2023"/>
    <w:docVar w:name="numaccion" w:val="2.1.7"/>
    <w:docVar w:name="OCHO" w:val=" "/>
    <w:docVar w:name="SEIS" w:val=" "/>
    <w:docVar w:name="SIETE" w:val=" "/>
    <w:docVar w:name="TOTALGASTOFDCAN" w:val="9095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4CEF-9A9F-4269-BCB9-229DF3B8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