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lang w:eastAsia="es-ES"/>
              </w:rPr>
              <w:t>Acondicionamiento del camino agrícola El Cardonal T.M. de Telde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b/>
                <w:bCs/>
                <w:color w:val="000000"/>
                <w:lang w:eastAsia="es-ES"/>
              </w:rPr>
              <w:t>178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b/>
                <w:color w:val="000000"/>
                <w:lang w:eastAsia="es-ES"/>
              </w:rPr>
              <w:t>366.422,60 €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A37CD">
              <w:rPr>
                <w:rFonts w:cs="Calibri"/>
                <w:w w:val="99"/>
                <w:sz w:val="20"/>
                <w:szCs w:val="20"/>
              </w:rPr>
              <w:t>366.422,60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A37C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A37C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A37CD">
              <w:rPr>
                <w:rFonts w:ascii="Arial" w:hAnsi="Arial" w:cs="Arial"/>
                <w:b/>
                <w:sz w:val="15"/>
                <w:szCs w:val="15"/>
              </w:rPr>
              <w:t>178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A37CD">
              <w:rPr>
                <w:rFonts w:ascii="Arial" w:hAnsi="Arial" w:cs="Arial"/>
                <w:b/>
                <w:sz w:val="15"/>
                <w:szCs w:val="15"/>
              </w:rPr>
              <w:t>Acondicionamiento del camino agrícola El Cardonal T.M. de Telde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178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37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del camino agrícola El Cardonal T.M. de Telde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4A37CD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Acondicionamiento del camino agrícola El Cardonal T.M. de Telde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78"/>
    <w:docVar w:name="FDCANELEG" w:val=" "/>
    <w:docVar w:name="le" w:val="2"/>
    <w:docVar w:name="linea" w:val="Línea 2: Inversión en infraestructuras"/>
    <w:docVar w:name="MUNICIPIO" w:val="Sector Primario"/>
    <w:docVar w:name="nuactuac" w:val="178"/>
    <w:docVar w:name="NUEVE" w:val=" "/>
    <w:docVar w:name="num" w:val="178.2023"/>
    <w:docVar w:name="numaccion" w:val="2.9.1"/>
    <w:docVar w:name="OCHO" w:val=" "/>
    <w:docVar w:name="SEIS" w:val=" "/>
    <w:docVar w:name="SIETE" w:val=" "/>
    <w:docVar w:name="TOTALGASTOFDCAN" w:val="366422,6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2DF9-C753-4D78-B4E9-792D4099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