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color w:val="000000"/>
                <w:lang w:eastAsia="es-ES"/>
              </w:rPr>
              <w:t>Acondicionamiento del acceso rodado agrícola para agricultores del Cairete-Carrizal, T.M. Tejeda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b/>
                <w:bCs/>
                <w:color w:val="000000"/>
                <w:lang w:eastAsia="es-ES"/>
              </w:rPr>
              <w:t>649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b/>
                <w:color w:val="000000"/>
                <w:lang w:eastAsia="es-ES"/>
              </w:rPr>
              <w:t>96.495,53 €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7349F">
              <w:rPr>
                <w:rFonts w:cs="Calibri"/>
                <w:w w:val="99"/>
                <w:sz w:val="20"/>
                <w:szCs w:val="20"/>
              </w:rPr>
              <w:t>96.495,53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7349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7349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7349F">
              <w:rPr>
                <w:rFonts w:ascii="Arial" w:hAnsi="Arial" w:cs="Arial"/>
                <w:b/>
                <w:sz w:val="15"/>
                <w:szCs w:val="15"/>
              </w:rPr>
              <w:t>649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7349F">
              <w:rPr>
                <w:rFonts w:ascii="Arial" w:hAnsi="Arial" w:cs="Arial"/>
                <w:b/>
                <w:sz w:val="15"/>
                <w:szCs w:val="15"/>
              </w:rPr>
              <w:t>Acondicionamiento del acceso rodado agrícola para agricultores del Cairete-Carrizal, T.M. Tejeda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649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49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Acondicionamiento del acceso rodado agrícola para agricultores del Cairete-Carrizal, T.M. Tejeda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17349F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Acondicionamiento del acceso rodado agrícola para agricultores del Cairete-Carrizal, T.M. Tejeda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Alta Mod01"/>
    <w:docVar w:name="exp" w:val="649"/>
    <w:docVar w:name="FDCANELEG" w:val=" "/>
    <w:docVar w:name="le" w:val="2"/>
    <w:docVar w:name="linea" w:val="Línea 2: Inversión en infraestructuras"/>
    <w:docVar w:name="MUNICIPIO" w:val="Sector Primario"/>
    <w:docVar w:name="nuactuac" w:val="649"/>
    <w:docVar w:name="NUEVE" w:val=" "/>
    <w:docVar w:name="num" w:val="649.2023"/>
    <w:docVar w:name="numaccion" w:val="2.9.1"/>
    <w:docVar w:name="OCHO" w:val=" "/>
    <w:docVar w:name="SEIS" w:val=" "/>
    <w:docVar w:name="SIETE" w:val=" "/>
    <w:docVar w:name="TOTALGASTOFDCAN" w:val="96495,53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E5CF5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24BD-E91B-4C6E-8484-D5491D7B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