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lang w:eastAsia="es-ES"/>
              </w:rPr>
              <w:t>Seguridad vial camino en Carboneras, T.M. de Moya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b/>
                <w:bCs/>
                <w:color w:val="000000"/>
                <w:lang w:eastAsia="es-ES"/>
              </w:rPr>
              <w:t>654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b/>
                <w:color w:val="000000"/>
                <w:lang w:eastAsia="es-ES"/>
              </w:rPr>
              <w:t>28.377,39 €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669B2">
              <w:rPr>
                <w:rFonts w:cs="Calibri"/>
                <w:w w:val="99"/>
                <w:sz w:val="20"/>
                <w:szCs w:val="20"/>
              </w:rPr>
              <w:t>28.377,39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669B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669B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669B2">
              <w:rPr>
                <w:rFonts w:ascii="Arial" w:hAnsi="Arial" w:cs="Arial"/>
                <w:b/>
                <w:sz w:val="15"/>
                <w:szCs w:val="15"/>
              </w:rPr>
              <w:t>654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669B2">
              <w:rPr>
                <w:rFonts w:ascii="Arial" w:hAnsi="Arial" w:cs="Arial"/>
                <w:b/>
                <w:sz w:val="15"/>
                <w:szCs w:val="15"/>
              </w:rPr>
              <w:t>Seguridad vial camino en Carboneras, T.M. de Moya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69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Seguridad vial camino en Carboneras, T.M. de Moya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669B2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Seguridad vial camino en Carboneras, T.M. de Moy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54"/>
    <w:docVar w:name="FDCANELEG" w:val=" "/>
    <w:docVar w:name="le" w:val="2"/>
    <w:docVar w:name="linea" w:val="Línea 2: Inversión en infraestructuras"/>
    <w:docVar w:name="MUNICIPIO" w:val="Sector Primario"/>
    <w:docVar w:name="nuactuac" w:val="654"/>
    <w:docVar w:name="NUEVE" w:val=" "/>
    <w:docVar w:name="num" w:val="654.2023"/>
    <w:docVar w:name="numaccion" w:val="2.9.1"/>
    <w:docVar w:name="OCHO" w:val=" "/>
    <w:docVar w:name="SEIS" w:val=" "/>
    <w:docVar w:name="SIETE" w:val=" "/>
    <w:docVar w:name="TOTALGASTOFDCAN" w:val="28377,39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CEE4-5DC6-41B5-A93C-D861D5CA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