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Muelle de acceso y ampliación del área de conservación y restauración de bienes culturales del Museo de Bellas Artes de Gran Canaria, MUBEA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b/>
                <w:bCs/>
                <w:color w:val="000000"/>
                <w:lang w:eastAsia="es-ES"/>
              </w:rPr>
              <w:t>288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lang w:eastAsia="es-ES"/>
              </w:rPr>
              <w:t>Cultura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b/>
                <w:color w:val="000000"/>
                <w:lang w:eastAsia="es-ES"/>
              </w:rPr>
              <w:t>1.000.000,00 €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1473B">
              <w:rPr>
                <w:rFonts w:cs="Calibri"/>
                <w:w w:val="99"/>
                <w:sz w:val="20"/>
                <w:szCs w:val="20"/>
              </w:rPr>
              <w:t>1.000.000,00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1473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1473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1473B">
              <w:rPr>
                <w:rFonts w:ascii="Arial" w:hAnsi="Arial" w:cs="Arial"/>
                <w:b/>
                <w:sz w:val="15"/>
                <w:szCs w:val="15"/>
              </w:rPr>
              <w:t>288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1473B">
              <w:rPr>
                <w:rFonts w:ascii="Arial" w:hAnsi="Arial" w:cs="Arial"/>
                <w:b/>
                <w:sz w:val="15"/>
                <w:szCs w:val="15"/>
              </w:rPr>
              <w:t>Muelle de acceso y ampliación del área de conservación y restauración de bienes culturales del Museo de Bellas Artes de Gran Canaria, MUBEA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288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Muelle de acceso y ampliación del área de conservación y restauración de bienes culturales del Museo de Bellas Artes de Gran Canaria, MUBEA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1473B">
        <w:t>Cultura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Cultura"/>
    <w:docVar w:name="C-A" w:val="C"/>
    <w:docVar w:name="CINCO" w:val=" "/>
    <w:docVar w:name="codayto" w:val=" "/>
    <w:docVar w:name="CUATRO" w:val=" "/>
    <w:docVar w:name="denomaccion" w:val="Actuaciones en Patrimonio Historíco y Cultural con potencialidad turística"/>
    <w:docVar w:name="denomactuac" w:val="Muelle de acceso y ampliación del área de conservación y restauración de bienes culturales del Museo de Bellas Artes de Gran Canaria, MUBE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88"/>
    <w:docVar w:name="FDCANELEG" w:val=" "/>
    <w:docVar w:name="le" w:val="2"/>
    <w:docVar w:name="linea" w:val="Línea 2: Inversión en infraestructuras"/>
    <w:docVar w:name="MUNICIPIO" w:val="Cultura"/>
    <w:docVar w:name="nuactuac" w:val="288"/>
    <w:docVar w:name="NUEVE" w:val=" "/>
    <w:docVar w:name="num" w:val="288.2023"/>
    <w:docVar w:name="numaccion" w:val="2.3.1"/>
    <w:docVar w:name="OCHO" w:val=" "/>
    <w:docVar w:name="SEIS" w:val=" "/>
    <w:docVar w:name="SIETE" w:val=" "/>
    <w:docVar w:name="TOTALGASTOFDCAN" w:val="10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D180-954A-4F31-90C6-9B59B89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