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color w:val="000000"/>
                <w:lang w:eastAsia="es-ES"/>
              </w:rPr>
              <w:t>Santa Mª de Guía: "Remodelación de la Plaza Luján Pérez y Vías Perimetrales".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b/>
                <w:bCs/>
                <w:color w:val="000000"/>
                <w:lang w:eastAsia="es-ES"/>
              </w:rPr>
              <w:t>269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color w:val="000000"/>
                <w:lang w:eastAsia="es-ES"/>
              </w:rPr>
              <w:t>7. Zonas comerciales abiertas.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color w:val="000000"/>
                <w:lang w:eastAsia="es-ES"/>
              </w:rPr>
              <w:t>2.7.1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color w:val="000000"/>
                <w:lang w:eastAsia="es-ES"/>
              </w:rPr>
              <w:t>Zonas Comerciales Abiertas (ZCA)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color w:val="000000"/>
                <w:lang w:eastAsia="es-ES"/>
              </w:rPr>
              <w:t>Industria, Comercio y Artesanía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b/>
                <w:color w:val="000000"/>
                <w:lang w:eastAsia="es-ES"/>
              </w:rPr>
              <w:t>996.000,00 €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454A5C">
              <w:rPr>
                <w:rFonts w:cs="Calibri"/>
                <w:w w:val="99"/>
                <w:sz w:val="20"/>
                <w:szCs w:val="20"/>
              </w:rPr>
              <w:t>996.000,00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454A5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454A5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afectada por actuaciones de revitalización y de  mejora del entorno urbano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establecimientos beneficiados de las actuaciones de  mejora en Zonas Comerciales Abiertas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Plazas de aparcamiento creadas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54A5C">
              <w:rPr>
                <w:rFonts w:ascii="Arial" w:hAnsi="Arial" w:cs="Arial"/>
                <w:b/>
                <w:sz w:val="15"/>
                <w:szCs w:val="15"/>
              </w:rPr>
              <w:t>269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54A5C">
              <w:rPr>
                <w:rFonts w:ascii="Arial" w:hAnsi="Arial" w:cs="Arial"/>
                <w:b/>
                <w:sz w:val="15"/>
                <w:szCs w:val="15"/>
              </w:rPr>
              <w:t>Santa Mª de Guía: "Remodelación de la Plaza Luján Pérez y Vías Perimetrales".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269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54A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Santa Mª de Guía: "Remodelación de la Plaza Luján Pérez y Vías Perimetrales".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454A5C">
        <w:t>Industria, Comercio y Artesanía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Industria, Comercio y Artesanía"/>
    <w:docVar w:name="C-A" w:val="C"/>
    <w:docVar w:name="CINCO" w:val=" "/>
    <w:docVar w:name="codayto" w:val=" "/>
    <w:docVar w:name="CUATRO" w:val=" "/>
    <w:docVar w:name="denomaccion" w:val="Zonas Comerciales Abiertas (ZCA)"/>
    <w:docVar w:name="denomactuac" w:val="Santa Mª de Guía: &quot;Remodelación de la Plaza Luján Pérez y Vías Perimetrales&quot;."/>
    <w:docVar w:name="DIEZ" w:val="Número de empleos creados"/>
    <w:docVar w:name="DOS" w:val="Número de establecimientos beneficiados de las actuaciones de  mejora en Zonas Comerciales Abiertas"/>
    <w:docVar w:name="e" w:val="7"/>
    <w:docVar w:name="eje1" w:val="2.7"/>
    <w:docVar w:name="ejeD" w:val="7. Zonas comerciales abiertas."/>
    <w:docVar w:name="ELE" w:val="Propuesta Inicial"/>
    <w:docVar w:name="exp" w:val="269"/>
    <w:docVar w:name="FDCANELEG" w:val=" "/>
    <w:docVar w:name="le" w:val="2"/>
    <w:docVar w:name="linea" w:val="Línea 2: Inversión en infraestructuras"/>
    <w:docVar w:name="MUNICIPIO" w:val="Industria, Comercio y Artesanía"/>
    <w:docVar w:name="nuactuac" w:val="269"/>
    <w:docVar w:name="NUEVE" w:val=" "/>
    <w:docVar w:name="num" w:val="269.2023"/>
    <w:docVar w:name="numaccion" w:val="2.7.1"/>
    <w:docVar w:name="OCHO" w:val=" "/>
    <w:docVar w:name="SEIS" w:val=" "/>
    <w:docVar w:name="SIETE" w:val=" "/>
    <w:docVar w:name="TOTALGASTOFDCAN" w:val="996000"/>
    <w:docVar w:name="TRES" w:val="Plazas de aparcamiento creadas"/>
    <w:docVar w:name="UNO" w:val="Superficie afectada por actuaciones de revitalización y de  mejora del entorno urbano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F1CB7"/>
    <w:rsid w:val="004F5A06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31F7-F042-4C97-91BF-0FDC2E03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