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Obras de conservación y restauración  del Aula de la naturaleza de Inagua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b/>
                <w:bCs/>
                <w:color w:val="000000"/>
                <w:lang w:eastAsia="es-ES"/>
              </w:rPr>
              <w:t>186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b/>
                <w:color w:val="000000"/>
                <w:lang w:eastAsia="es-ES"/>
              </w:rPr>
              <w:t>408.142,07 €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67B25">
              <w:rPr>
                <w:rFonts w:cs="Calibri"/>
                <w:w w:val="99"/>
                <w:sz w:val="20"/>
                <w:szCs w:val="20"/>
              </w:rPr>
              <w:t>408.142,07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67B2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67B2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7B25">
              <w:rPr>
                <w:rFonts w:ascii="Arial" w:hAnsi="Arial" w:cs="Arial"/>
                <w:b/>
                <w:sz w:val="15"/>
                <w:szCs w:val="15"/>
              </w:rPr>
              <w:t>186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7B25">
              <w:rPr>
                <w:rFonts w:ascii="Arial" w:hAnsi="Arial" w:cs="Arial"/>
                <w:b/>
                <w:sz w:val="15"/>
                <w:szCs w:val="15"/>
              </w:rPr>
              <w:t>Obras de conservación y restauración  del Aula de la naturaleza de Inagua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7B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Obras de conservación y restauración  del Aula de la naturaleza de Inagua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67B25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Otras Infraestructuras"/>
    <w:docVar w:name="denomactuac" w:val="Obras de conservación y restauración  del Aula de la naturaleza de Inagu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86"/>
    <w:docVar w:name="FDCANELEG" w:val=" "/>
    <w:docVar w:name="le" w:val="2"/>
    <w:docVar w:name="linea" w:val="Línea 2: Inversión en infraestructuras"/>
    <w:docVar w:name="MUNICIPIO" w:val="Medio Ambiente"/>
    <w:docVar w:name="nuactuac" w:val="186"/>
    <w:docVar w:name="NUEVE" w:val=" "/>
    <w:docVar w:name="num" w:val="186.2023"/>
    <w:docVar w:name="numaccion" w:val="2.10.4"/>
    <w:docVar w:name="OCHO" w:val=" "/>
    <w:docVar w:name="SEIS" w:val=" "/>
    <w:docVar w:name="SIETE" w:val=" "/>
    <w:docVar w:name="TOTALGASTOFDCAN" w:val="408142,07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4D87-1F4C-4F16-951C-7A14E11A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