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lang w:eastAsia="es-ES"/>
              </w:rPr>
              <w:t>Restitución de daños causados por el incendio de 2019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b/>
                <w:bCs/>
                <w:color w:val="000000"/>
                <w:lang w:eastAsia="es-ES"/>
              </w:rPr>
              <w:t>189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b/>
                <w:color w:val="000000"/>
                <w:lang w:eastAsia="es-ES"/>
              </w:rPr>
              <w:t>682.604,08 €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21083">
              <w:rPr>
                <w:rFonts w:cs="Calibri"/>
                <w:w w:val="99"/>
                <w:sz w:val="20"/>
                <w:szCs w:val="20"/>
              </w:rPr>
              <w:t>682.604,08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2108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2108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21083">
              <w:rPr>
                <w:rFonts w:ascii="Arial" w:hAnsi="Arial" w:cs="Arial"/>
                <w:b/>
                <w:sz w:val="15"/>
                <w:szCs w:val="15"/>
              </w:rPr>
              <w:t>189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21083">
              <w:rPr>
                <w:rFonts w:ascii="Arial" w:hAnsi="Arial" w:cs="Arial"/>
                <w:b/>
                <w:sz w:val="15"/>
                <w:szCs w:val="15"/>
              </w:rPr>
              <w:t>Restitución de daños causados por el incendio de 2019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2108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Restitución de daños causados por el incendio de 2019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B21083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Restitución de daños causados por el incendio de 2019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89"/>
    <w:docVar w:name="FDCANELEG" w:val=" "/>
    <w:docVar w:name="le" w:val="2"/>
    <w:docVar w:name="linea" w:val="Línea 2: Inversión en infraestructuras"/>
    <w:docVar w:name="MUNICIPIO" w:val="Medio Ambiente"/>
    <w:docVar w:name="nuactuac" w:val="189"/>
    <w:docVar w:name="NUEVE" w:val=" "/>
    <w:docVar w:name="num" w:val="189.2023"/>
    <w:docVar w:name="numaccion" w:val="2.3.7"/>
    <w:docVar w:name="OCHO" w:val=" "/>
    <w:docVar w:name="SEIS" w:val=" "/>
    <w:docVar w:name="SIETE" w:val=" "/>
    <w:docVar w:name="TOTALGASTOFDCAN" w:val="682604,08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4E02-3645-40B0-8815-57AC4E51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