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lang w:eastAsia="es-ES"/>
              </w:rPr>
              <w:t>Suministro de maquinaria de defensa contra incendios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b/>
                <w:bCs/>
                <w:color w:val="000000"/>
                <w:lang w:eastAsia="es-ES"/>
              </w:rPr>
              <w:t>202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b/>
                <w:color w:val="000000"/>
                <w:lang w:eastAsia="es-ES"/>
              </w:rPr>
              <w:t>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76F95">
              <w:rPr>
                <w:rFonts w:cs="Calibri"/>
                <w:w w:val="99"/>
                <w:sz w:val="20"/>
                <w:szCs w:val="20"/>
              </w:rPr>
              <w:t>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76F9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76F9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76F95">
              <w:rPr>
                <w:rFonts w:ascii="Arial" w:hAnsi="Arial" w:cs="Arial"/>
                <w:b/>
                <w:sz w:val="15"/>
                <w:szCs w:val="15"/>
              </w:rPr>
              <w:t>202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76F95">
              <w:rPr>
                <w:rFonts w:ascii="Arial" w:hAnsi="Arial" w:cs="Arial"/>
                <w:b/>
                <w:sz w:val="15"/>
                <w:szCs w:val="15"/>
              </w:rPr>
              <w:t>Suministro de maquinaria de defensa contra incendios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6F9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Suministro de maquinaria de defensa contra incendios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176F95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Otras Infraestructuras"/>
    <w:docVar w:name="denomactuac" w:val="Suministro de maquinaria de defensa contra incendios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202"/>
    <w:docVar w:name="FDCANELEG" w:val=" "/>
    <w:docVar w:name="le" w:val="2"/>
    <w:docVar w:name="linea" w:val="Línea 2: Inversión en infraestructuras"/>
    <w:docVar w:name="MUNICIPIO" w:val="Medio Ambiente"/>
    <w:docVar w:name="nuactuac" w:val="202"/>
    <w:docVar w:name="NUEVE" w:val=" "/>
    <w:docVar w:name="num" w:val="202.2023"/>
    <w:docVar w:name="numaccion" w:val="2.10.4"/>
    <w:docVar w:name="OCHO" w:val=" "/>
    <w:docVar w:name="SEIS" w:val=" "/>
    <w:docVar w:name="SIETE" w:val=" "/>
    <w:docVar w:name="TOTALGASTOFDCAN" w:val="50000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49B4-A326-4714-AEE6-B170C16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