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lang w:eastAsia="es-ES"/>
              </w:rPr>
              <w:t>Proyecto integral de Tufia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b/>
                <w:bCs/>
                <w:color w:val="000000"/>
                <w:lang w:eastAsia="es-ES"/>
              </w:rPr>
              <w:t>208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b/>
                <w:color w:val="000000"/>
                <w:lang w:eastAsia="es-ES"/>
              </w:rPr>
              <w:t>450.000,00 €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66B69">
              <w:rPr>
                <w:rFonts w:cs="Calibri"/>
                <w:w w:val="99"/>
                <w:sz w:val="20"/>
                <w:szCs w:val="20"/>
              </w:rPr>
              <w:t>450.000,00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66B6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66B6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66B69">
              <w:rPr>
                <w:rFonts w:ascii="Arial" w:hAnsi="Arial" w:cs="Arial"/>
                <w:b/>
                <w:sz w:val="15"/>
                <w:szCs w:val="15"/>
              </w:rPr>
              <w:t>208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66B69">
              <w:rPr>
                <w:rFonts w:ascii="Arial" w:hAnsi="Arial" w:cs="Arial"/>
                <w:b/>
                <w:sz w:val="15"/>
                <w:szCs w:val="15"/>
              </w:rPr>
              <w:t>Proyecto integral de Tufia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B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integral de Tufia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C66B69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de alta potencialidad turística"/>
    <w:docVar w:name="denomactuac" w:val="Proyecto integral de Tufi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08"/>
    <w:docVar w:name="FDCANELEG" w:val=" "/>
    <w:docVar w:name="le" w:val="2"/>
    <w:docVar w:name="linea" w:val="Línea 2: Inversión en infraestructuras"/>
    <w:docVar w:name="MUNICIPIO" w:val="Medio Ambiente"/>
    <w:docVar w:name="nuactuac" w:val="208"/>
    <w:docVar w:name="NUEVE" w:val=" "/>
    <w:docVar w:name="num" w:val="208.2023"/>
    <w:docVar w:name="numaccion" w:val="2.3.8"/>
    <w:docVar w:name="OCHO" w:val=" "/>
    <w:docVar w:name="SEIS" w:val=" "/>
    <w:docVar w:name="SIETE" w:val=" "/>
    <w:docVar w:name="TOTALGASTOFDCAN" w:val="45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04E0-8A89-4493-96C8-20828E9D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