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Rehabilitación del firme en la GC-300, P.K. 12+180 A 15+300 (Tramo Cambalud - Arucas).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2.1.5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Infraestructuras de transporte, red viaria. Rehabilitación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t>1.872.584,93 €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169B9">
              <w:rPr>
                <w:rFonts w:cs="Calibri"/>
                <w:w w:val="99"/>
                <w:sz w:val="20"/>
                <w:szCs w:val="20"/>
              </w:rPr>
              <w:t>1.872.584,93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t>Rehabilitación del firme en la GC-300, P.K. 12+180 A 15+300 (Tramo Cambalud - Arucas).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del firme en la GC-300, P.K. 12+180 A 15+300 (Tramo Cambalud - Arucas).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169B9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Rehabilitación de carreteras"/>
    <w:docVar w:name="denomactuac" w:val="Rehabilitación del firme en la GC-300, P.K. 12+180 A 15+300 (Tramo Cambalud - Arucas).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1"/>
    <w:docVar w:name="FDCANELEG" w:val=" "/>
    <w:docVar w:name="le" w:val="2"/>
    <w:docVar w:name="linea" w:val="Línea 2: Inversión en infraestructuras"/>
    <w:docVar w:name="MUNICIPIO" w:val="Obras Públicas"/>
    <w:docVar w:name="nuactuac" w:val="1"/>
    <w:docVar w:name="NUEVE" w:val=" "/>
    <w:docVar w:name="num" w:val="1.2023"/>
    <w:docVar w:name="numaccion" w:val="2.1.5"/>
    <w:docVar w:name="OCHO" w:val=" "/>
    <w:docVar w:name="SEIS" w:val=" "/>
    <w:docVar w:name="SIETE" w:val=" "/>
    <w:docVar w:name="TOTALGASTOFDCAN" w:val="1872584,9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A0D8-B54E-4339-AF0B-22F1121A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